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3D8E" w14:textId="541FA63F" w:rsidR="006A05FB" w:rsidRPr="006A05FB" w:rsidRDefault="006A05FB" w:rsidP="00971DA3">
      <w:pPr>
        <w:pStyle w:val="Heading1"/>
        <w:rPr>
          <w:b w:val="0"/>
        </w:rPr>
      </w:pPr>
      <w:r w:rsidRPr="006A05FB">
        <w:rPr>
          <w:b w:val="0"/>
        </w:rPr>
        <w:t>Original Research</w:t>
      </w:r>
    </w:p>
    <w:p w14:paraId="1B0DDD75" w14:textId="621DC7D7" w:rsidR="00AC088D" w:rsidRPr="00FE046F" w:rsidRDefault="00E24778" w:rsidP="00971DA3">
      <w:pPr>
        <w:pStyle w:val="Heading1"/>
      </w:pPr>
      <w:r w:rsidRPr="00FE046F">
        <w:t>The Role Model of Digital Literacy on the Effectiveness of Health Services in Community Health Centers</w:t>
      </w:r>
      <w:r w:rsidR="00450D93">
        <w:t xml:space="preserve"> Kendari City</w:t>
      </w:r>
    </w:p>
    <w:p w14:paraId="7DF5A44C" w14:textId="77777777" w:rsidR="00E24778" w:rsidRDefault="00E24778"/>
    <w:p w14:paraId="53ACECCC" w14:textId="77777777" w:rsidR="00E24778" w:rsidRDefault="00E24778">
      <w:r>
        <w:t>Author:</w:t>
      </w:r>
    </w:p>
    <w:p w14:paraId="2C052B3F" w14:textId="77777777" w:rsidR="00E24778" w:rsidRDefault="00E24778" w:rsidP="00971DA3">
      <w:pPr>
        <w:rPr>
          <w:i/>
        </w:rPr>
      </w:pPr>
      <w:r>
        <w:t>Jumakil Jumakil</w:t>
      </w:r>
      <w:r w:rsidRPr="00E24778">
        <w:rPr>
          <w:vertAlign w:val="superscript"/>
        </w:rPr>
        <w:t>*1</w:t>
      </w:r>
      <w:r>
        <w:t xml:space="preserve"> </w:t>
      </w:r>
      <w:r w:rsidRPr="00E24778">
        <w:rPr>
          <w:i/>
        </w:rPr>
        <w:t>PhD</w:t>
      </w:r>
    </w:p>
    <w:p w14:paraId="5D58E142" w14:textId="792CDEB2" w:rsidR="00E24778" w:rsidRDefault="00E24778">
      <w:pPr>
        <w:rPr>
          <w:i/>
        </w:rPr>
      </w:pPr>
      <w:r>
        <w:t>Suhadi Suhadi</w:t>
      </w:r>
      <w:r>
        <w:rPr>
          <w:vertAlign w:val="superscript"/>
        </w:rPr>
        <w:t>2</w:t>
      </w:r>
      <w:r>
        <w:t xml:space="preserve"> </w:t>
      </w:r>
      <w:r w:rsidR="00915E0B">
        <w:rPr>
          <w:i/>
        </w:rPr>
        <w:t>Prof</w:t>
      </w:r>
    </w:p>
    <w:p w14:paraId="35C684DB" w14:textId="77777777" w:rsidR="00E24778" w:rsidRDefault="00E24778">
      <w:pPr>
        <w:rPr>
          <w:i/>
        </w:rPr>
      </w:pPr>
      <w:r>
        <w:t>Lade Albar Kalza</w:t>
      </w:r>
      <w:r>
        <w:rPr>
          <w:vertAlign w:val="superscript"/>
        </w:rPr>
        <w:t>3</w:t>
      </w:r>
      <w:r>
        <w:t xml:space="preserve"> </w:t>
      </w:r>
      <w:r>
        <w:rPr>
          <w:i/>
        </w:rPr>
        <w:t>MPH</w:t>
      </w:r>
    </w:p>
    <w:p w14:paraId="1BE3A445" w14:textId="77777777" w:rsidR="00E24778" w:rsidRDefault="00E24778">
      <w:r w:rsidRPr="00E24778">
        <w:t>Muhammad Bagus Yahya</w:t>
      </w:r>
      <w:r w:rsidR="00B004C3">
        <w:rPr>
          <w:vertAlign w:val="superscript"/>
        </w:rPr>
        <w:t>4</w:t>
      </w:r>
    </w:p>
    <w:p w14:paraId="0721B553" w14:textId="77777777" w:rsidR="00E24778" w:rsidRDefault="00E24778">
      <w:r w:rsidRPr="00E24778">
        <w:t>Miftahul Wahida</w:t>
      </w:r>
      <w:r w:rsidR="00B004C3">
        <w:rPr>
          <w:vertAlign w:val="superscript"/>
        </w:rPr>
        <w:t>5</w:t>
      </w:r>
    </w:p>
    <w:p w14:paraId="3335E4DB" w14:textId="77777777" w:rsidR="00E24778" w:rsidRDefault="00E24778">
      <w:r w:rsidRPr="00E24778">
        <w:t>Miftahul Jannah Ihsani</w:t>
      </w:r>
      <w:r w:rsidR="00B004C3">
        <w:rPr>
          <w:vertAlign w:val="superscript"/>
        </w:rPr>
        <w:t>6</w:t>
      </w:r>
    </w:p>
    <w:p w14:paraId="359965C6" w14:textId="77777777" w:rsidR="00E24778" w:rsidRDefault="00E24778"/>
    <w:p w14:paraId="58E229F4" w14:textId="243041CE" w:rsidR="00E24778" w:rsidRDefault="00BE3D6F" w:rsidP="00D93F20">
      <w:pPr>
        <w:jc w:val="both"/>
      </w:pPr>
      <w:r>
        <w:rPr>
          <w:vertAlign w:val="superscript"/>
        </w:rPr>
        <w:t>1</w:t>
      </w:r>
      <w:r w:rsidR="00B004C3">
        <w:t xml:space="preserve">Departement of </w:t>
      </w:r>
      <w:r>
        <w:t>Biostatistic and Health Information System</w:t>
      </w:r>
      <w:r w:rsidR="00B004C3" w:rsidRPr="00B004C3">
        <w:t>, College of Public Health, University of Halu Oleo</w:t>
      </w:r>
      <w:r w:rsidR="00B004C3">
        <w:t>, Kendari</w:t>
      </w:r>
      <w:r w:rsidR="00C110D6">
        <w:t>,</w:t>
      </w:r>
      <w:r w:rsidR="00B004C3">
        <w:t xml:space="preserve"> Indonesia</w:t>
      </w:r>
    </w:p>
    <w:p w14:paraId="092B3D77" w14:textId="6A5941AB" w:rsidR="00BE3D6F" w:rsidRDefault="00BE3D6F" w:rsidP="00D93F20">
      <w:pPr>
        <w:jc w:val="both"/>
      </w:pPr>
      <w:r>
        <w:rPr>
          <w:vertAlign w:val="superscript"/>
        </w:rPr>
        <w:t>2,3,4,5,6</w:t>
      </w:r>
      <w:r>
        <w:t>Departement of Health Policy A</w:t>
      </w:r>
      <w:r w:rsidRPr="00B004C3">
        <w:t>ministration, College of Public Health, University of Halu Oleo</w:t>
      </w:r>
      <w:r>
        <w:t>, Kendari</w:t>
      </w:r>
      <w:r w:rsidR="00C110D6">
        <w:t>,</w:t>
      </w:r>
      <w:r>
        <w:t xml:space="preserve"> Indonesia</w:t>
      </w:r>
    </w:p>
    <w:p w14:paraId="57A07F00" w14:textId="77777777" w:rsidR="0084293E" w:rsidRDefault="0084293E" w:rsidP="00D93F20">
      <w:pPr>
        <w:jc w:val="both"/>
      </w:pPr>
    </w:p>
    <w:p w14:paraId="5DB6CCB7" w14:textId="3A69DAED" w:rsidR="0084293E" w:rsidRDefault="0084293E" w:rsidP="00D93F20">
      <w:pPr>
        <w:jc w:val="both"/>
      </w:pPr>
      <w:r>
        <w:t>A</w:t>
      </w:r>
      <w:r w:rsidRPr="0084293E">
        <w:t xml:space="preserve">uthor </w:t>
      </w:r>
      <w:r>
        <w:t>C</w:t>
      </w:r>
      <w:r w:rsidRPr="0084293E">
        <w:t>orrespondence</w:t>
      </w:r>
      <w:r>
        <w:t>:</w:t>
      </w:r>
    </w:p>
    <w:p w14:paraId="6FB4982C" w14:textId="5E068A64" w:rsidR="0084293E" w:rsidRDefault="0084293E" w:rsidP="00D93F20">
      <w:pPr>
        <w:jc w:val="both"/>
        <w:rPr>
          <w:i/>
        </w:rPr>
      </w:pPr>
      <w:r>
        <w:t>Jumakil Jumakil</w:t>
      </w:r>
    </w:p>
    <w:p w14:paraId="20FEE300" w14:textId="5DC78278" w:rsidR="008D148D" w:rsidRDefault="00A91B2F" w:rsidP="00D93F20">
      <w:pPr>
        <w:jc w:val="both"/>
      </w:pPr>
      <w:r>
        <w:t>Faculty</w:t>
      </w:r>
      <w:r w:rsidR="0084293E">
        <w:t xml:space="preserve"> of Public Health, Universitas Halu Oleo, Bumi Tridharma Green Campus, Anduonohu, Kec. Kambu, Kendari City, Southeast Sulawesi 93232, Indonesia. </w:t>
      </w:r>
    </w:p>
    <w:p w14:paraId="424CFD03" w14:textId="6D573CFB" w:rsidR="0084293E" w:rsidRDefault="0084293E" w:rsidP="00D93F20">
      <w:pPr>
        <w:jc w:val="both"/>
      </w:pPr>
      <w:r>
        <w:t>Postal Code: 93232</w:t>
      </w:r>
    </w:p>
    <w:p w14:paraId="46CB5C0C" w14:textId="5122D50C" w:rsidR="008D148D" w:rsidRDefault="008D148D" w:rsidP="0084293E">
      <w:r>
        <w:t>Phone: +62 (852) 56560054</w:t>
      </w:r>
    </w:p>
    <w:p w14:paraId="3F74F948" w14:textId="058C25A9" w:rsidR="008D148D" w:rsidRDefault="008D148D" w:rsidP="0084293E">
      <w:r w:rsidRPr="008D148D">
        <w:t>Fax: +62 (401) 3194108</w:t>
      </w:r>
    </w:p>
    <w:p w14:paraId="733BDD5C" w14:textId="5420497F" w:rsidR="0084293E" w:rsidRDefault="0084293E" w:rsidP="0084293E">
      <w:r>
        <w:t>Email: jumakil@uho.ac.id</w:t>
      </w:r>
    </w:p>
    <w:p w14:paraId="1EB54736" w14:textId="77777777" w:rsidR="005702A8" w:rsidRDefault="005702A8" w:rsidP="0084293E"/>
    <w:p w14:paraId="2B79AA07" w14:textId="489F9CEE" w:rsidR="005702A8" w:rsidRDefault="005702A8" w:rsidP="0084293E">
      <w:r>
        <w:br w:type="page"/>
      </w:r>
    </w:p>
    <w:p w14:paraId="2E543C97" w14:textId="0D262867" w:rsidR="005702A8" w:rsidRPr="004C15B3" w:rsidRDefault="005702A8" w:rsidP="00971DA3">
      <w:pPr>
        <w:pStyle w:val="Heading1"/>
      </w:pPr>
      <w:r w:rsidRPr="004C15B3">
        <w:lastRenderedPageBreak/>
        <w:t>Abstract</w:t>
      </w:r>
    </w:p>
    <w:p w14:paraId="70A5366F" w14:textId="73A968A6" w:rsidR="005702A8" w:rsidRDefault="004C15B3" w:rsidP="005702A8">
      <w:pPr>
        <w:jc w:val="both"/>
      </w:pPr>
      <w:r w:rsidRPr="004C15B3">
        <w:rPr>
          <w:b/>
        </w:rPr>
        <w:t>Aims</w:t>
      </w:r>
      <w:r w:rsidR="005702A8" w:rsidRPr="004C15B3">
        <w:rPr>
          <w:b/>
        </w:rPr>
        <w:t>:</w:t>
      </w:r>
      <w:r>
        <w:t xml:space="preserve"> </w:t>
      </w:r>
      <w:r w:rsidR="00A170BD" w:rsidRPr="00A170BD">
        <w:t>The optimization of services like online registration and virtual consultations is also hampered by low levels of digital literacy. The purpose of this study was to investigate how digital literacy affects community health centers' ability to provide quality medical care</w:t>
      </w:r>
      <w:r w:rsidR="008B56B6">
        <w:t>.</w:t>
      </w:r>
      <w:r>
        <w:t xml:space="preserve"> </w:t>
      </w:r>
      <w:r w:rsidRPr="0060382A">
        <w:rPr>
          <w:b/>
        </w:rPr>
        <w:t>Instrument &amp;</w:t>
      </w:r>
      <w:r w:rsidRPr="004C15B3">
        <w:rPr>
          <w:b/>
        </w:rPr>
        <w:t xml:space="preserve"> Method</w:t>
      </w:r>
      <w:r>
        <w:rPr>
          <w:b/>
        </w:rPr>
        <w:t>s</w:t>
      </w:r>
      <w:r w:rsidR="005702A8" w:rsidRPr="004C15B3">
        <w:rPr>
          <w:b/>
        </w:rPr>
        <w:t>:</w:t>
      </w:r>
      <w:r w:rsidR="005702A8" w:rsidRPr="005702A8">
        <w:t xml:space="preserve"> </w:t>
      </w:r>
      <w:r w:rsidR="00A170BD" w:rsidRPr="00A170BD">
        <w:t>This kind of research is both quantitative and explanatory. Purposive sampling procedures are used at the Community Health Center, whereas proportionate random sampling techniques are used at the research location to determine the number of respondents at each Community Health Center. There are 224 samples. A questionnaire was used to gather data, which was then given to Kendari City health center officers</w:t>
      </w:r>
      <w:r w:rsidR="006271E4" w:rsidRPr="006271E4">
        <w:t>.</w:t>
      </w:r>
      <w:r w:rsidR="005702A8" w:rsidRPr="005702A8">
        <w:t xml:space="preserve"> </w:t>
      </w:r>
      <w:r w:rsidRPr="004C15B3">
        <w:rPr>
          <w:b/>
        </w:rPr>
        <w:t>Findding</w:t>
      </w:r>
      <w:r>
        <w:rPr>
          <w:b/>
        </w:rPr>
        <w:t>s</w:t>
      </w:r>
      <w:r w:rsidR="005702A8" w:rsidRPr="004C15B3">
        <w:rPr>
          <w:b/>
        </w:rPr>
        <w:t>:</w:t>
      </w:r>
      <w:r w:rsidR="005702A8" w:rsidRPr="005702A8">
        <w:t xml:space="preserve"> </w:t>
      </w:r>
      <w:r w:rsidR="00A170BD" w:rsidRPr="00A170BD">
        <w:t>The effectiveness of health care is positively and significantly impacted by digital literacy, with a p-value of 0.000 &lt;0.05 and an original sample value of 0.836. Community health center policies have a positive and significant impact on digital literacy with an original sample value of 0.366 and a p-value of 0.011 &lt;0.05, while digital infrastructure has a positive and significant impact with an original sample value of 0.422 and a p-value of 0.016 &lt;0.05</w:t>
      </w:r>
      <w:r w:rsidR="005702A8" w:rsidRPr="005702A8">
        <w:t xml:space="preserve"> </w:t>
      </w:r>
      <w:r w:rsidR="005702A8" w:rsidRPr="004C15B3">
        <w:rPr>
          <w:b/>
        </w:rPr>
        <w:t>Conclusion:</w:t>
      </w:r>
      <w:r w:rsidR="005702A8" w:rsidRPr="005702A8">
        <w:t xml:space="preserve"> </w:t>
      </w:r>
      <w:r w:rsidR="00A170BD" w:rsidRPr="00A170BD">
        <w:t>Officers at the Community Health Center must be well-versed in digital literacy in order to provide efficient digital health services</w:t>
      </w:r>
      <w:r w:rsidR="005702A8" w:rsidRPr="005702A8">
        <w:t>. In order for Community Health Center officers to have good digital health literacy, there needs to be support from Community Health Center policies and adequate digital infrastructure.</w:t>
      </w:r>
    </w:p>
    <w:p w14:paraId="4F77832D" w14:textId="77777777" w:rsidR="005702A8" w:rsidRDefault="005702A8" w:rsidP="005702A8">
      <w:pPr>
        <w:jc w:val="both"/>
      </w:pPr>
    </w:p>
    <w:p w14:paraId="36F02200" w14:textId="43F5EB88" w:rsidR="005702A8" w:rsidRDefault="00822D4D" w:rsidP="005702A8">
      <w:pPr>
        <w:jc w:val="both"/>
      </w:pPr>
      <w:r w:rsidRPr="00822D4D">
        <w:rPr>
          <w:b/>
        </w:rPr>
        <w:t>Keywords:</w:t>
      </w:r>
      <w:r w:rsidR="00627618">
        <w:t xml:space="preserve"> Community Health Center Policy; Digital infrastructure; Digital Literacy;</w:t>
      </w:r>
      <w:r w:rsidRPr="00822D4D">
        <w:t xml:space="preserve"> E</w:t>
      </w:r>
      <w:r w:rsidR="00627618">
        <w:t>ffectiveness of health services;</w:t>
      </w:r>
      <w:r w:rsidRPr="00822D4D">
        <w:t xml:space="preserve"> Indonesia </w:t>
      </w:r>
      <w:r w:rsidR="005702A8">
        <w:br w:type="page"/>
      </w:r>
    </w:p>
    <w:p w14:paraId="75B05FEE" w14:textId="0E1E0EAA" w:rsidR="008D148D" w:rsidRPr="00BB5313" w:rsidRDefault="00BB5313" w:rsidP="00971DA3">
      <w:pPr>
        <w:pStyle w:val="Heading1"/>
      </w:pPr>
      <w:r w:rsidRPr="00BB5313">
        <w:t>Introduction</w:t>
      </w:r>
    </w:p>
    <w:p w14:paraId="4B18B67F" w14:textId="082F7CB4" w:rsidR="00BB5313" w:rsidRDefault="00E054AF" w:rsidP="006D74F4">
      <w:pPr>
        <w:jc w:val="both"/>
        <w:rPr>
          <w:rFonts w:cs="Times New Roman"/>
        </w:rPr>
      </w:pPr>
      <w:r w:rsidRPr="00E054AF">
        <w:t>The advancement of digital technology has significantly changed a number of industries, including health</w:t>
      </w:r>
      <w:r w:rsidR="006D74F4">
        <w:t xml:space="preserve"> </w:t>
      </w:r>
      <w:r w:rsidR="006D74F4" w:rsidRPr="003E79A9">
        <w:rPr>
          <w:rFonts w:cs="Times New Roman"/>
        </w:rPr>
        <w:fldChar w:fldCharType="begin" w:fldLock="1"/>
      </w:r>
      <w:r w:rsidR="00F70054">
        <w:rPr>
          <w:rFonts w:cs="Times New Roman"/>
        </w:rPr>
        <w:instrText>ADDIN CSL_CITATION {"citationItems":[{"id":"ITEM-1","itemData":{"ISBN":"9781003141471","author":[{"dropping-particle":"","family":"Singh","given":"Suruchi","non-dropping-particle":"","parse-names":false,"suffix":""},{"dropping-particle":"","family":"Bhatt","given":"Pankaj","non-dropping-particle":"","parse-names":false,"suffix":""},{"dropping-particle":"","family":"Sharma","given":"Satish Kumar","non-dropping-particle":"","parse-names":false,"suffix":""},{"dropping-particle":"","family":"Rabiu","given":"S.","non-dropping-particle":"","parse-names":false,"suffix":""}],"container-title":"Blockchain for Healthcare Systems","edition":"1st Editio","id":"ITEM-1","issued":{"date-parts":[["2021"]]},"publisher":"CRC Press","title":"Digital Transformation in Healthcare: Innovation and Technologies","type":"chapter"},"uris":["http://www.mendeley.com/documents/?uuid=d879bad7-681a-45c4-9cae-1933ef4b4df7"]},{"id":"ITEM-2","itemData":{"DOI":"10.1515/cclm-2018-0658","ISSN":"1437-4331","abstract":"Healthcare providers all over the world are faced with a single challenge: the need to improve patient outcomes while containing costs. Drivers include an increasing demand for chronic disease management for an aging population, technological advancements and empowered patients taking control of their health experience. The digital transformation in healthcare, through the creation of a rich health data foundation and integration of technologies like the Internet of Things (IoT), advanced analytics, Machine Learning (ML) and Artificial Intelligence (AI), is recognized as a key component to tackle these challenges. It can lead to improvements in diagnostics, prevention and patient therapy, ultimately empowering care givers to use an evidence-based approach to improve clinical decisions. Real-time interactions allow a physician to monitor a patient ‘live’, instead of interactions once every few weeks. Operational intelligence ensures efficient utilization of healthcare resources and services provided, thereby optimizing costs. However, procedure-based payments, legacy systems, disparate data sources with the limited adoption of data standards, technical debt, data security and privacy concerns impede the efficient usage of health information to maximize value creation for all healthcare stakeholders. This has led to a highly-regulated, constrained industry. Ultimately, the goal is to improve quality of life and saving people’s lives through the creation of the intelligent healthcare provider, fully enabled to deliver value-based healthcare and a seamless patient experience. Information technologies that enable this goal must be extensible, safe, reliable and affordable, and tailored to the digitalization maturity-level of the individual organization.","author":[{"dropping-particle":"","family":"Gopal","given":"Gayatri","non-dropping-particle":"","parse-names":false,"suffix":""},{"dropping-particle":"","family":"Suter-Crazzolara","given":"Clemens","non-dropping-particle":"","parse-names":false,"suffix":""},{"dropping-particle":"","family":"Toldo","given":"Luca","non-dropping-particle":"","parse-names":false,"suffix":""},{"dropping-particle":"","family":"Eberhardt","given":"Werner","non-dropping-particle":"","parse-names":false,"suffix":""}],"container-title":"Clinical Chemistry and Laboratory Medicine (CCLM)","id":"ITEM-2","issue":"3","issued":{"date-parts":[["2019","2","25"]]},"page":"328-335","title":"Digital transformation in healthcare – architectures of present and future information technologies","type":"article-journal","volume":"57"},"uris":["http://www.mendeley.com/documents/?uuid=0e98da15-ab5d-4170-b0c1-1802a086808a"]},{"id":"ITEM-3","itemData":{"DOI":"10.1007/s12553-019-00402-8","ISSN":"2190-7188","author":[{"dropping-particle":"","family":"Marques","given":"Isabel C. P.","non-dropping-particle":"","parse-names":false,"suffix":""},{"dropping-particle":"","family":"Ferreira","given":"João J. M.","non-dropping-particle":"","parse-names":false,"suffix":""}],"container-title":"Health and Technology","id":"ITEM-3","issue":"3","issued":{"date-parts":[["2020","5","13"]]},"page":"575-586","title":"Digital transformation in the area of health: systematic review of 45 years of evolution","type":"article-journal","volume":"10"},"uris":["http://www.mendeley.com/documents/?uuid=a816c47e-7a12-475c-b227-35c780ff5575"]}],"mendeley":{"formattedCitation":"(1–3)","plainTextFormattedCitation":"(1–3)","previouslyFormattedCitation":"(1–3)"},"properties":{"noteIndex":0},"schema":"https://github.com/citation-style-language/schema/raw/master/csl-citation.json"}</w:instrText>
      </w:r>
      <w:r w:rsidR="006D74F4" w:rsidRPr="003E79A9">
        <w:rPr>
          <w:rFonts w:cs="Times New Roman"/>
        </w:rPr>
        <w:fldChar w:fldCharType="separate"/>
      </w:r>
      <w:r w:rsidR="00F70054" w:rsidRPr="00F70054">
        <w:rPr>
          <w:rFonts w:cs="Times New Roman"/>
          <w:noProof/>
        </w:rPr>
        <w:t>(1–3)</w:t>
      </w:r>
      <w:r w:rsidR="006D74F4" w:rsidRPr="003E79A9">
        <w:rPr>
          <w:rFonts w:cs="Times New Roman"/>
        </w:rPr>
        <w:fldChar w:fldCharType="end"/>
      </w:r>
      <w:r w:rsidR="006D74F4">
        <w:rPr>
          <w:rFonts w:cs="Times New Roman"/>
        </w:rPr>
        <w:t xml:space="preserve">. </w:t>
      </w:r>
      <w:r w:rsidR="006D74F4" w:rsidRPr="006D74F4">
        <w:rPr>
          <w:rFonts w:cs="Times New Roman"/>
        </w:rPr>
        <w:t>In Indonesia, Community Health Centers are the spearhead of primary health services</w:t>
      </w:r>
      <w:r w:rsidR="006D74F4">
        <w:rPr>
          <w:rFonts w:cs="Times New Roman"/>
        </w:rPr>
        <w:t xml:space="preserve"> </w:t>
      </w:r>
      <w:r w:rsidR="006D74F4" w:rsidRPr="003E79A9">
        <w:rPr>
          <w:rFonts w:cs="Times New Roman"/>
        </w:rPr>
        <w:fldChar w:fldCharType="begin" w:fldLock="1"/>
      </w:r>
      <w:r w:rsidR="00F70054">
        <w:rPr>
          <w:rFonts w:cs="Times New Roman"/>
        </w:rPr>
        <w:instrText>ADDIN CSL_CITATION {"citationItems":[{"id":"ITEM-1","itemData":{"ISBN":"978-602-386-866-7","author":[{"dropping-particle":"","family":"Sulaiman","given":"Endang Sulisna","non-dropping-particle":"","parse-names":false,"suffix":""}],"id":"ITEM-1","issued":{"date-parts":[["2021"]]},"publisher":"Gadjah Mada University Press","publisher-place":"Yogyakarta","title":"Manajemen Kesehatan: Teori dan Praktik di Puskesmas","type":"book"},"uris":["http://www.mendeley.com/documents/?uuid=67f21474-3d68-4aed-b7d1-528f2fa1f65b"]}],"mendeley":{"formattedCitation":"(4)","plainTextFormattedCitation":"(4)","previouslyFormattedCitation":"(4)"},"properties":{"noteIndex":0},"schema":"https://github.com/citation-style-language/schema/raw/master/csl-citation.json"}</w:instrText>
      </w:r>
      <w:r w:rsidR="006D74F4" w:rsidRPr="003E79A9">
        <w:rPr>
          <w:rFonts w:cs="Times New Roman"/>
        </w:rPr>
        <w:fldChar w:fldCharType="separate"/>
      </w:r>
      <w:r w:rsidR="00F70054" w:rsidRPr="00F70054">
        <w:rPr>
          <w:rFonts w:cs="Times New Roman"/>
          <w:noProof/>
        </w:rPr>
        <w:t>(4)</w:t>
      </w:r>
      <w:r w:rsidR="006D74F4" w:rsidRPr="003E79A9">
        <w:rPr>
          <w:rFonts w:cs="Times New Roman"/>
        </w:rPr>
        <w:fldChar w:fldCharType="end"/>
      </w:r>
      <w:r w:rsidR="006D74F4">
        <w:rPr>
          <w:rFonts w:cs="Times New Roman"/>
        </w:rPr>
        <w:t xml:space="preserve"> </w:t>
      </w:r>
      <w:r w:rsidR="006D74F4" w:rsidRPr="006D74F4">
        <w:rPr>
          <w:rFonts w:cs="Times New Roman"/>
        </w:rPr>
        <w:t>required to adapt to digital-based systems to facilitate health services</w:t>
      </w:r>
      <w:r w:rsidR="000620DE">
        <w:rPr>
          <w:rFonts w:cs="Times New Roman"/>
        </w:rPr>
        <w:t xml:space="preserve"> </w:t>
      </w:r>
      <w:r w:rsidR="000620DE" w:rsidRPr="003E79A9">
        <w:rPr>
          <w:rFonts w:cs="Times New Roman"/>
        </w:rPr>
        <w:fldChar w:fldCharType="begin" w:fldLock="1"/>
      </w:r>
      <w:r w:rsidR="00F70054">
        <w:rPr>
          <w:rFonts w:cs="Times New Roman"/>
        </w:rPr>
        <w:instrText>ADDIN CSL_CITATION {"citationItems":[{"id":"ITEM-1","itemData":{"author":[{"dropping-particle":"","family":"Kemenkes R.I.","given":"","non-dropping-particle":"","parse-names":false,"suffix":""}],"id":"ITEM-1","issued":{"date-parts":[["2025"]]},"title":"Digitalisasi Permudah Akses Layanan Kesehatan Primer","type":"webpage"},"uris":["http://www.mendeley.com/documents/?uuid=c12e3f7c-5a32-4b41-8bf1-89e82a24caae"]}],"mendeley":{"formattedCitation":"(5)","plainTextFormattedCitation":"(5)","previouslyFormattedCitation":"(5)"},"properties":{"noteIndex":0},"schema":"https://github.com/citation-style-language/schema/raw/master/csl-citation.json"}</w:instrText>
      </w:r>
      <w:r w:rsidR="000620DE" w:rsidRPr="003E79A9">
        <w:rPr>
          <w:rFonts w:cs="Times New Roman"/>
        </w:rPr>
        <w:fldChar w:fldCharType="separate"/>
      </w:r>
      <w:r w:rsidR="00F70054" w:rsidRPr="00F70054">
        <w:rPr>
          <w:rFonts w:cs="Times New Roman"/>
          <w:noProof/>
        </w:rPr>
        <w:t>(5)</w:t>
      </w:r>
      <w:r w:rsidR="000620DE" w:rsidRPr="003E79A9">
        <w:rPr>
          <w:rFonts w:cs="Times New Roman"/>
        </w:rPr>
        <w:fldChar w:fldCharType="end"/>
      </w:r>
      <w:r w:rsidR="000620DE" w:rsidRPr="003E79A9">
        <w:rPr>
          <w:rFonts w:cs="Times New Roman"/>
        </w:rPr>
        <w:t>,</w:t>
      </w:r>
      <w:r w:rsidR="000620DE">
        <w:rPr>
          <w:rFonts w:cs="Times New Roman"/>
        </w:rPr>
        <w:t xml:space="preserve"> </w:t>
      </w:r>
      <w:r w:rsidR="000620DE" w:rsidRPr="000620DE">
        <w:rPr>
          <w:rFonts w:cs="Times New Roman"/>
        </w:rPr>
        <w:t>such as the Community Health Center Management Information System (SIMPUS)</w:t>
      </w:r>
      <w:r w:rsidR="000620DE">
        <w:rPr>
          <w:rFonts w:cs="Times New Roman"/>
        </w:rPr>
        <w:t xml:space="preserve"> </w:t>
      </w:r>
      <w:r w:rsidR="000620DE" w:rsidRPr="003E79A9">
        <w:rPr>
          <w:rFonts w:cs="Times New Roman"/>
        </w:rPr>
        <w:fldChar w:fldCharType="begin" w:fldLock="1"/>
      </w:r>
      <w:r w:rsidR="00F70054">
        <w:rPr>
          <w:rFonts w:cs="Times New Roman"/>
        </w:rPr>
        <w:instrText>ADDIN CSL_CITATION {"citationItems":[{"id":"ITEM-1","itemData":{"author":[{"dropping-particle":"","family":"Kemenkes R.I.","given":"","non-dropping-particle":"","parse-names":false,"suffix":""}],"id":"ITEM-1","issued":{"date-parts":[["2019"]]},"publisher":"Menteri Kesehatan Republik Indonesia","publisher-place":"Jakarta","title":"Peraturan Menteri Kesehatan Nomor 31 Tahun 2019 tentang Sistem Informasi Puskesmas","type":"article"},"uris":["http://www.mendeley.com/documents/?uuid=cba1d4fa-3cc9-48e1-8523-a3df747c77ad"]}],"mendeley":{"formattedCitation":"(6)","plainTextFormattedCitation":"(6)","previouslyFormattedCitation":"(6)"},"properties":{"noteIndex":0},"schema":"https://github.com/citation-style-language/schema/raw/master/csl-citation.json"}</w:instrText>
      </w:r>
      <w:r w:rsidR="000620DE" w:rsidRPr="003E79A9">
        <w:rPr>
          <w:rFonts w:cs="Times New Roman"/>
        </w:rPr>
        <w:fldChar w:fldCharType="separate"/>
      </w:r>
      <w:r w:rsidR="00F70054" w:rsidRPr="00F70054">
        <w:rPr>
          <w:rFonts w:cs="Times New Roman"/>
          <w:noProof/>
        </w:rPr>
        <w:t>(6)</w:t>
      </w:r>
      <w:r w:rsidR="000620DE" w:rsidRPr="003E79A9">
        <w:rPr>
          <w:rFonts w:cs="Times New Roman"/>
        </w:rPr>
        <w:fldChar w:fldCharType="end"/>
      </w:r>
      <w:r w:rsidR="000620DE" w:rsidRPr="003E79A9">
        <w:rPr>
          <w:rFonts w:cs="Times New Roman"/>
        </w:rPr>
        <w:t>,</w:t>
      </w:r>
      <w:r w:rsidR="000620DE">
        <w:rPr>
          <w:rFonts w:cs="Times New Roman"/>
        </w:rPr>
        <w:t xml:space="preserve"> </w:t>
      </w:r>
      <w:r w:rsidR="00A50291" w:rsidRPr="00A50291">
        <w:rPr>
          <w:rFonts w:cs="Times New Roman"/>
        </w:rPr>
        <w:t>telemedicine applications</w:t>
      </w:r>
      <w:r w:rsidR="00A50291">
        <w:rPr>
          <w:rFonts w:cs="Times New Roman"/>
        </w:rPr>
        <w:t xml:space="preserve"> </w:t>
      </w:r>
      <w:r w:rsidR="00A50291" w:rsidRPr="003E79A9">
        <w:rPr>
          <w:rFonts w:cs="Times New Roman"/>
        </w:rPr>
        <w:t xml:space="preserve"> </w:t>
      </w:r>
      <w:r w:rsidR="00A50291" w:rsidRPr="003E79A9">
        <w:rPr>
          <w:rFonts w:cs="Times New Roman"/>
        </w:rPr>
        <w:fldChar w:fldCharType="begin" w:fldLock="1"/>
      </w:r>
      <w:r w:rsidR="00F70054">
        <w:rPr>
          <w:rFonts w:cs="Times New Roman"/>
        </w:rPr>
        <w:instrText>ADDIN CSL_CITATION {"citationItems":[{"id":"ITEM-1","itemData":{"author":[{"dropping-particle":"","family":"Kemenkes R.I.","given":"","non-dropping-particle":"","parse-names":false,"suffix":""}],"id":"ITEM-1","issued":{"date-parts":[["2019"]]},"publisher":"Mentri Kesehatan Republik Indonesia","publisher-place":"Jakarta","title":"Peraturan Menteri Kesehatan Nomor 20 Tahun 2019 tentang Penyelenggaraan Pelayanan Telemedicine Antar Fasilitas Pelayanan Kesehatan","type":"article"},"uris":["http://www.mendeley.com/documents/?uuid=91fd1067-a158-4900-af49-1fe135273e26"]}],"mendeley":{"formattedCitation":"(7)","plainTextFormattedCitation":"(7)","previouslyFormattedCitation":"(7)"},"properties":{"noteIndex":0},"schema":"https://github.com/citation-style-language/schema/raw/master/csl-citation.json"}</w:instrText>
      </w:r>
      <w:r w:rsidR="00A50291" w:rsidRPr="003E79A9">
        <w:rPr>
          <w:rFonts w:cs="Times New Roman"/>
        </w:rPr>
        <w:fldChar w:fldCharType="separate"/>
      </w:r>
      <w:r w:rsidR="00F70054" w:rsidRPr="00F70054">
        <w:rPr>
          <w:rFonts w:cs="Times New Roman"/>
          <w:noProof/>
        </w:rPr>
        <w:t>(7)</w:t>
      </w:r>
      <w:r w:rsidR="00A50291" w:rsidRPr="003E79A9">
        <w:rPr>
          <w:rFonts w:cs="Times New Roman"/>
        </w:rPr>
        <w:fldChar w:fldCharType="end"/>
      </w:r>
      <w:r w:rsidR="00A50291">
        <w:rPr>
          <w:rFonts w:cs="Times New Roman"/>
        </w:rPr>
        <w:t xml:space="preserve">, </w:t>
      </w:r>
      <w:r w:rsidR="00A50291" w:rsidRPr="00A50291">
        <w:rPr>
          <w:rFonts w:cs="Times New Roman"/>
        </w:rPr>
        <w:t>and electronic medical records</w:t>
      </w:r>
      <w:r w:rsidR="00A50291">
        <w:rPr>
          <w:rFonts w:cs="Times New Roman"/>
        </w:rPr>
        <w:t xml:space="preserve"> </w:t>
      </w:r>
      <w:r w:rsidR="00A50291" w:rsidRPr="003E79A9">
        <w:rPr>
          <w:rFonts w:cs="Times New Roman"/>
        </w:rPr>
        <w:fldChar w:fldCharType="begin" w:fldLock="1"/>
      </w:r>
      <w:r w:rsidR="00F70054">
        <w:rPr>
          <w:rFonts w:cs="Times New Roman"/>
        </w:rPr>
        <w:instrText>ADDIN CSL_CITATION {"citationItems":[{"id":"ITEM-1","itemData":{"author":[{"dropping-particle":"","family":"Kemenkes R.I.","given":"","non-dropping-particle":"","parse-names":false,"suffix":""}],"id":"ITEM-1","issued":{"date-parts":[["2022"]]},"publisher":"Menteri Kesehatan Republik Indonesia","publisher-place":"Jakarta","title":"Peraturan Menteri Kesehatan Nomor 24 Tahun 2022 tentang Rekam Medis","type":"article"},"uris":["http://www.mendeley.com/documents/?uuid=8f4a5075-9f47-4c69-8d3e-32cfb55cd8ec"]}],"mendeley":{"formattedCitation":"(8)","plainTextFormattedCitation":"(8)","previouslyFormattedCitation":"(8)"},"properties":{"noteIndex":0},"schema":"https://github.com/citation-style-language/schema/raw/master/csl-citation.json"}</w:instrText>
      </w:r>
      <w:r w:rsidR="00A50291" w:rsidRPr="003E79A9">
        <w:rPr>
          <w:rFonts w:cs="Times New Roman"/>
        </w:rPr>
        <w:fldChar w:fldCharType="separate"/>
      </w:r>
      <w:r w:rsidR="00F70054" w:rsidRPr="00F70054">
        <w:rPr>
          <w:rFonts w:cs="Times New Roman"/>
          <w:noProof/>
        </w:rPr>
        <w:t>(8)</w:t>
      </w:r>
      <w:r w:rsidR="00A50291" w:rsidRPr="003E79A9">
        <w:rPr>
          <w:rFonts w:cs="Times New Roman"/>
        </w:rPr>
        <w:fldChar w:fldCharType="end"/>
      </w:r>
      <w:r w:rsidR="00A50291" w:rsidRPr="003E79A9">
        <w:rPr>
          <w:rFonts w:cs="Times New Roman"/>
        </w:rPr>
        <w:t>.</w:t>
      </w:r>
      <w:r w:rsidR="00A50291">
        <w:rPr>
          <w:rFonts w:cs="Times New Roman"/>
        </w:rPr>
        <w:t xml:space="preserve"> </w:t>
      </w:r>
      <w:r w:rsidR="00A50291" w:rsidRPr="00A50291">
        <w:rPr>
          <w:rFonts w:cs="Times New Roman"/>
        </w:rPr>
        <w:t xml:space="preserve">However, the effectiveness of this technology's implementation depends heavily on the digital literacy of healthcare workers and the public. </w:t>
      </w:r>
      <w:r w:rsidR="005428F8">
        <w:rPr>
          <w:rFonts w:cs="Times New Roman"/>
        </w:rPr>
        <w:t>L</w:t>
      </w:r>
      <w:r w:rsidR="00A50291" w:rsidRPr="00A50291">
        <w:rPr>
          <w:rFonts w:cs="Times New Roman"/>
        </w:rPr>
        <w:t>iteracy</w:t>
      </w:r>
      <w:r w:rsidR="005428F8">
        <w:rPr>
          <w:rFonts w:cs="Times New Roman"/>
        </w:rPr>
        <w:t xml:space="preserve"> of digital</w:t>
      </w:r>
      <w:r w:rsidR="00A50291" w:rsidRPr="00A50291">
        <w:rPr>
          <w:rFonts w:cs="Times New Roman"/>
        </w:rPr>
        <w:t xml:space="preserve"> encompasses </w:t>
      </w:r>
      <w:r w:rsidR="005428F8" w:rsidRPr="005428F8">
        <w:rPr>
          <w:rFonts w:cs="Times New Roman"/>
        </w:rPr>
        <w:t>not just the capacity to handle gadgets technically, but also knowledge of digital ethics, data security, and the important use of health information</w:t>
      </w:r>
      <w:r w:rsidR="00A50291">
        <w:rPr>
          <w:rFonts w:cs="Times New Roman"/>
        </w:rPr>
        <w:t xml:space="preserve"> </w:t>
      </w:r>
      <w:r w:rsidR="00A50291" w:rsidRPr="003E79A9">
        <w:rPr>
          <w:rFonts w:cs="Times New Roman"/>
        </w:rPr>
        <w:fldChar w:fldCharType="begin" w:fldLock="1"/>
      </w:r>
      <w:r w:rsidR="00F70054">
        <w:rPr>
          <w:rFonts w:cs="Times New Roman"/>
        </w:rPr>
        <w:instrText>ADDIN CSL_CITATION {"citationItems":[{"id":"ITEM-1","itemData":{"DOI":"10.1371/journal.pdig.0000279","ISSN":"2767-3170","author":[{"dropping-particle":"","family":"Arias López","given":"Maria del Pilar","non-dropping-particle":"","parse-names":false,"suffix":""},{"dropping-particle":"","family":"Ong","given":"Bradley A.","non-dropping-particle":"","parse-names":false,"suffix":""},{"dropping-particle":"","family":"Borrat Frigola","given":"Xavier","non-dropping-particle":"","parse-names":false,"suffix":""},{"dropping-particle":"","family":"Fernández","given":"Ariel L.","non-dropping-particle":"","parse-names":false,"suffix":""},{"dropping-particle":"","family":"Hicklent","given":"Rachel S.","non-dropping-particle":"","parse-names":false,"suffix":""},{"dropping-particle":"","family":"Obeles","given":"Arianne J. T.","non-dropping-particle":"","parse-names":false,"suffix":""},{"dropping-particle":"","family":"Rocimo","given":"Aubrey M.","non-dropping-particle":"","parse-names":false,"suffix":""},{"dropping-particle":"","family":"Celi","given":"Leo A.","non-dropping-particle":"","parse-names":false,"suffix":""}],"container-title":"PLOS Digital Health","editor":[{"dropping-particle":"","family":"Ziegler","given":"Jennifer","non-dropping-particle":"","parse-names":false,"suffix":""}],"id":"ITEM-1","issue":"10","issued":{"date-parts":[["2023","10","12"]]},"page":"e0000279","title":"Digital literacy as a new determinant of health: A scoping review","type":"article-journal","volume":"2"},"uris":["http://www.mendeley.com/documents/?uuid=0852c77d-2f27-4534-ba3b-3e00361d6118"]}],"mendeley":{"formattedCitation":"(9)","plainTextFormattedCitation":"(9)","previouslyFormattedCitation":"(9)"},"properties":{"noteIndex":0},"schema":"https://github.com/citation-style-language/schema/raw/master/csl-citation.json"}</w:instrText>
      </w:r>
      <w:r w:rsidR="00A50291" w:rsidRPr="003E79A9">
        <w:rPr>
          <w:rFonts w:cs="Times New Roman"/>
        </w:rPr>
        <w:fldChar w:fldCharType="separate"/>
      </w:r>
      <w:r w:rsidR="00F70054" w:rsidRPr="00F70054">
        <w:rPr>
          <w:rFonts w:cs="Times New Roman"/>
          <w:noProof/>
        </w:rPr>
        <w:t>(9)</w:t>
      </w:r>
      <w:r w:rsidR="00A50291" w:rsidRPr="003E79A9">
        <w:rPr>
          <w:rFonts w:cs="Times New Roman"/>
        </w:rPr>
        <w:fldChar w:fldCharType="end"/>
      </w:r>
      <w:r w:rsidR="00A50291" w:rsidRPr="003E79A9">
        <w:rPr>
          <w:rFonts w:cs="Times New Roman"/>
        </w:rPr>
        <w:t>.</w:t>
      </w:r>
    </w:p>
    <w:p w14:paraId="06A8EA3A" w14:textId="77777777" w:rsidR="00F41309" w:rsidRDefault="00F41309" w:rsidP="006D74F4">
      <w:pPr>
        <w:jc w:val="both"/>
        <w:rPr>
          <w:rFonts w:cs="Times New Roman"/>
        </w:rPr>
      </w:pPr>
    </w:p>
    <w:p w14:paraId="1AC632AC" w14:textId="2EC73178" w:rsidR="00645394" w:rsidRPr="00123F5D" w:rsidRDefault="00B80DD7" w:rsidP="006D74F4">
      <w:pPr>
        <w:jc w:val="both"/>
        <w:rPr>
          <w:rFonts w:cs="Times New Roman"/>
        </w:rPr>
      </w:pPr>
      <w:r w:rsidRPr="00123F5D">
        <w:rPr>
          <w:rFonts w:cs="Times New Roman"/>
          <w:highlight w:val="yellow"/>
        </w:rPr>
        <w:t>According to data from the Indonesian Ministry of Health (2022), which indicates that the degree of digital technology use in primary health care institutions still varies, health center services in Indonesia have not fully implemented digital information system technology for the operational management needs of health services</w:t>
      </w:r>
      <w:r w:rsidR="00645394" w:rsidRPr="00123F5D">
        <w:rPr>
          <w:rFonts w:cs="Times New Roman"/>
          <w:highlight w:val="yellow"/>
        </w:rPr>
        <w:t xml:space="preserve"> </w:t>
      </w:r>
      <w:r w:rsidR="00645394" w:rsidRPr="00123F5D">
        <w:rPr>
          <w:rFonts w:cs="Times New Roman"/>
          <w:highlight w:val="yellow"/>
        </w:rPr>
        <w:fldChar w:fldCharType="begin" w:fldLock="1"/>
      </w:r>
      <w:r w:rsidR="00486BC6" w:rsidRPr="00123F5D">
        <w:rPr>
          <w:rFonts w:cs="Times New Roman"/>
          <w:highlight w:val="yellow"/>
        </w:rPr>
        <w:instrText>ADDIN CSL_CITATION {"citationItems":[{"id":"ITEM-1","itemData":{"author":[{"dropping-particle":"","family":"Kementerian Kesehatan RI","given":"","non-dropping-particle":"","parse-names":false,"suffix":""}],"id":"ITEM-1","issued":{"date-parts":[["2022"]]},"publisher-place":"Jakarta","title":"Profil Kesehatan Indonesia Tahun 2022.","type":"report"},"uris":["http://www.mendeley.com/documents/?uuid=95498d4d-eb9d-44f6-b2b6-2a368d03d589"]}],"mendeley":{"formattedCitation":"(10)","plainTextFormattedCitation":"(10)","previouslyFormattedCitation":"(10)"},"properties":{"noteIndex":0},"schema":"https://github.com/citation-style-language/schema/raw/master/csl-citation.json"}</w:instrText>
      </w:r>
      <w:r w:rsidR="00645394" w:rsidRPr="00123F5D">
        <w:rPr>
          <w:rFonts w:cs="Times New Roman"/>
          <w:highlight w:val="yellow"/>
        </w:rPr>
        <w:fldChar w:fldCharType="separate"/>
      </w:r>
      <w:r w:rsidR="00645394" w:rsidRPr="00123F5D">
        <w:rPr>
          <w:rFonts w:cs="Times New Roman"/>
          <w:noProof/>
          <w:highlight w:val="yellow"/>
        </w:rPr>
        <w:t>(10)</w:t>
      </w:r>
      <w:r w:rsidR="00645394" w:rsidRPr="00123F5D">
        <w:rPr>
          <w:rFonts w:cs="Times New Roman"/>
          <w:highlight w:val="yellow"/>
        </w:rPr>
        <w:fldChar w:fldCharType="end"/>
      </w:r>
      <w:r w:rsidR="00645394" w:rsidRPr="00123F5D">
        <w:rPr>
          <w:rFonts w:cs="Times New Roman"/>
          <w:highlight w:val="yellow"/>
        </w:rPr>
        <w:t xml:space="preserve">. </w:t>
      </w:r>
      <w:r w:rsidR="009F0760" w:rsidRPr="00123F5D">
        <w:rPr>
          <w:rFonts w:cs="Times New Roman"/>
          <w:highlight w:val="yellow"/>
        </w:rPr>
        <w:t xml:space="preserve">This state indicates a deficiency in health workers' digital literacy, human resource competency, and technical infrastructure readiness. When it comes to the digital transformation of its healthcare services, Kendari City, the capital of Southeast Sulawesi Province, faces comparable difficulties. A population of about </w:t>
      </w:r>
      <w:r w:rsidR="00496CA9" w:rsidRPr="00123F5D">
        <w:rPr>
          <w:rFonts w:cs="Times New Roman"/>
          <w:highlight w:val="yellow"/>
        </w:rPr>
        <w:t>hundreds of millions</w:t>
      </w:r>
      <w:r w:rsidR="009F0760" w:rsidRPr="00123F5D">
        <w:rPr>
          <w:rFonts w:cs="Times New Roman"/>
          <w:highlight w:val="yellow"/>
        </w:rPr>
        <w:t xml:space="preserve"> individuals with a variety of demographic and geographic features is served by 15 community health clinics, according to data from the Kendari City Health Office (2023)</w:t>
      </w:r>
      <w:r w:rsidR="00645394" w:rsidRPr="00123F5D">
        <w:rPr>
          <w:rFonts w:cs="Times New Roman"/>
          <w:highlight w:val="yellow"/>
        </w:rPr>
        <w:t xml:space="preserve"> </w:t>
      </w:r>
      <w:r w:rsidR="00486BC6" w:rsidRPr="00123F5D">
        <w:rPr>
          <w:rFonts w:cs="Times New Roman"/>
          <w:highlight w:val="yellow"/>
        </w:rPr>
        <w:fldChar w:fldCharType="begin" w:fldLock="1"/>
      </w:r>
      <w:r w:rsidR="00400570" w:rsidRPr="00123F5D">
        <w:rPr>
          <w:rFonts w:cs="Times New Roman"/>
          <w:highlight w:val="yellow"/>
        </w:rPr>
        <w:instrText>ADDIN CSL_CITATION {"citationItems":[{"id":"ITEM-1","itemData":{"author":[{"dropping-particle":"","family":"Dinas Kesehatan Kota Kendari","given":"","non-dropping-particle":"","parse-names":false,"suffix":""}],"id":"ITEM-1","issued":{"date-parts":[["2023"]]},"publisher-place":"Kendari","title":"Profil Kesehatan Kota Kendari Tahun 2023","type":"report"},"uris":["http://www.mendeley.com/documents/?uuid=8f581754-a92a-434e-80ba-7dfc8c11beaa"]}],"mendeley":{"formattedCitation":"(11)","plainTextFormattedCitation":"(11)","previouslyFormattedCitation":"(11)"},"properties":{"noteIndex":0},"schema":"https://github.com/citation-style-language/schema/raw/master/csl-citation.json"}</w:instrText>
      </w:r>
      <w:r w:rsidR="00486BC6" w:rsidRPr="00123F5D">
        <w:rPr>
          <w:rFonts w:cs="Times New Roman"/>
          <w:highlight w:val="yellow"/>
        </w:rPr>
        <w:fldChar w:fldCharType="separate"/>
      </w:r>
      <w:r w:rsidR="00486BC6" w:rsidRPr="00123F5D">
        <w:rPr>
          <w:rFonts w:cs="Times New Roman"/>
          <w:noProof/>
          <w:highlight w:val="yellow"/>
        </w:rPr>
        <w:t>(11)</w:t>
      </w:r>
      <w:r w:rsidR="00486BC6" w:rsidRPr="00123F5D">
        <w:rPr>
          <w:rFonts w:cs="Times New Roman"/>
          <w:highlight w:val="yellow"/>
        </w:rPr>
        <w:fldChar w:fldCharType="end"/>
      </w:r>
      <w:r w:rsidR="00486BC6" w:rsidRPr="00123F5D">
        <w:rPr>
          <w:rFonts w:cs="Times New Roman"/>
          <w:highlight w:val="yellow"/>
        </w:rPr>
        <w:t xml:space="preserve">. </w:t>
      </w:r>
      <w:r w:rsidR="009F0760" w:rsidRPr="00123F5D">
        <w:rPr>
          <w:rFonts w:cs="Times New Roman"/>
          <w:highlight w:val="yellow"/>
        </w:rPr>
        <w:t>The Community Health Center Information System and other digital-based health applications have started to develop digital infrastructure, but given the disparities in digital literacy among medical professionals and administrative staff, its efficacy is still in doubt</w:t>
      </w:r>
      <w:r w:rsidR="00486BC6" w:rsidRPr="00123F5D">
        <w:rPr>
          <w:rFonts w:cs="Times New Roman"/>
          <w:color w:val="FF0000"/>
          <w:highlight w:val="yellow"/>
        </w:rPr>
        <w:t>.</w:t>
      </w:r>
    </w:p>
    <w:p w14:paraId="4092B259" w14:textId="77777777" w:rsidR="00645394" w:rsidRDefault="00645394" w:rsidP="006D74F4">
      <w:pPr>
        <w:jc w:val="both"/>
        <w:rPr>
          <w:rFonts w:cs="Times New Roman"/>
        </w:rPr>
      </w:pPr>
    </w:p>
    <w:p w14:paraId="192E677C" w14:textId="50CCEBDE" w:rsidR="00F41309" w:rsidRDefault="00F41309" w:rsidP="006D74F4">
      <w:pPr>
        <w:jc w:val="both"/>
        <w:rPr>
          <w:rFonts w:cs="Times New Roman"/>
        </w:rPr>
      </w:pPr>
      <w:r w:rsidRPr="00F41309">
        <w:t>Although the government is actively encouraging the digitalization of Community Health Centers through policies such as digital health transformation</w:t>
      </w:r>
      <w:r>
        <w:t xml:space="preserve"> </w:t>
      </w:r>
      <w:r w:rsidRPr="003E79A9">
        <w:rPr>
          <w:rFonts w:cs="Times New Roman"/>
        </w:rPr>
        <w:t xml:space="preserve"> </w:t>
      </w:r>
      <w:r w:rsidRPr="003E79A9">
        <w:rPr>
          <w:rFonts w:cs="Times New Roman"/>
        </w:rPr>
        <w:fldChar w:fldCharType="begin" w:fldLock="1"/>
      </w:r>
      <w:r w:rsidR="00400570">
        <w:rPr>
          <w:rFonts w:cs="Times New Roman"/>
        </w:rPr>
        <w:instrText>ADDIN CSL_CITATION {"citationItems":[{"id":"ITEM-1","itemData":{"author":[{"dropping-particle":"","family":"Kemenkes R.I.","given":"","non-dropping-particle":"","parse-names":false,"suffix":""}],"id":"ITEM-1","issued":{"date-parts":[["2022"]]},"publisher":"Menteri Kesehatan Republik Indonesia","publisher-place":"Jakarta","title":"Keputusan Menteri Kesehatan (Kepmenkes) Nomor HK.01.07/MENKES/1559/2022 Tentang Penerapan Sistem Pemerintahan Berbasis Elektronik Bidang Kesehatan dan Strategi Transformasi Digital Kesehatan","type":"article"},"uris":["http://www.mendeley.com/documents/?uuid=08c0bdd7-fd02-4d94-b4ba-6fba55b3c878"]}],"mendeley":{"formattedCitation":"(12)","plainTextFormattedCitation":"(12)","previouslyFormattedCitation":"(12)"},"properties":{"noteIndex":0},"schema":"https://github.com/citation-style-language/schema/raw/master/csl-citation.json"}</w:instrText>
      </w:r>
      <w:r w:rsidRPr="003E79A9">
        <w:rPr>
          <w:rFonts w:cs="Times New Roman"/>
        </w:rPr>
        <w:fldChar w:fldCharType="separate"/>
      </w:r>
      <w:r w:rsidR="00486BC6" w:rsidRPr="00486BC6">
        <w:rPr>
          <w:rFonts w:cs="Times New Roman"/>
          <w:noProof/>
        </w:rPr>
        <w:t>(12)</w:t>
      </w:r>
      <w:r w:rsidRPr="003E79A9">
        <w:rPr>
          <w:rFonts w:cs="Times New Roman"/>
        </w:rPr>
        <w:fldChar w:fldCharType="end"/>
      </w:r>
      <w:r w:rsidRPr="003E79A9">
        <w:rPr>
          <w:rFonts w:cs="Times New Roman"/>
        </w:rPr>
        <w:t>,</w:t>
      </w:r>
      <w:r>
        <w:rPr>
          <w:rFonts w:cs="Times New Roman"/>
        </w:rPr>
        <w:t xml:space="preserve"> </w:t>
      </w:r>
      <w:r w:rsidRPr="00F41309">
        <w:rPr>
          <w:rFonts w:cs="Times New Roman"/>
        </w:rPr>
        <w:t xml:space="preserve">The reality on the ground shows that a digital literacy gap persists. </w:t>
      </w:r>
      <w:r>
        <w:rPr>
          <w:rFonts w:cs="Times New Roman"/>
        </w:rPr>
        <w:t>P</w:t>
      </w:r>
      <w:r w:rsidRPr="00F41309">
        <w:rPr>
          <w:rFonts w:cs="Times New Roman"/>
        </w:rPr>
        <w:t>reliminary surveys at several community health centers revealed that some staff had difficulty using SIMPUS, inputting data accurately, or utilizing analytical features for decision-making.</w:t>
      </w:r>
      <w:r>
        <w:rPr>
          <w:rFonts w:cs="Times New Roman"/>
        </w:rPr>
        <w:t xml:space="preserve"> </w:t>
      </w:r>
      <w:r w:rsidRPr="00F41309">
        <w:rPr>
          <w:rFonts w:cs="Times New Roman"/>
        </w:rPr>
        <w:t>On the other hand, low digital literacy among the public also hinders the optimization of services such as online registration or virtual consultations. As a result, service processes become less efficient, data duplication occurs, and disparities in healthcare access between urban and rural areas arise.</w:t>
      </w:r>
    </w:p>
    <w:p w14:paraId="1B81C8FA" w14:textId="77777777" w:rsidR="00F41309" w:rsidRDefault="00F41309" w:rsidP="006D74F4">
      <w:pPr>
        <w:jc w:val="both"/>
        <w:rPr>
          <w:rFonts w:cs="Times New Roman"/>
        </w:rPr>
      </w:pPr>
    </w:p>
    <w:p w14:paraId="5D07D9F0" w14:textId="1D1B2629" w:rsidR="00F41309" w:rsidRDefault="00E85075" w:rsidP="006D74F4">
      <w:pPr>
        <w:jc w:val="both"/>
        <w:rPr>
          <w:rFonts w:cs="Times New Roman"/>
        </w:rPr>
      </w:pPr>
      <w:r w:rsidRPr="00E85075">
        <w:t>This research is important to analyze the extent to which digital literacy influences the effectiveness of health services at Community Health Centers.</w:t>
      </w:r>
      <w:r>
        <w:t xml:space="preserve"> </w:t>
      </w:r>
      <w:r w:rsidRPr="00E85075">
        <w:t>Previous studies</w:t>
      </w:r>
      <w:r>
        <w:t xml:space="preserve"> </w:t>
      </w:r>
      <w:r w:rsidRPr="003E79A9">
        <w:rPr>
          <w:rFonts w:cs="Times New Roman"/>
        </w:rPr>
        <w:fldChar w:fldCharType="begin" w:fldLock="1"/>
      </w:r>
      <w:r w:rsidR="00400570">
        <w:rPr>
          <w:rFonts w:cs="Times New Roman"/>
        </w:rPr>
        <w:instrText>ADDIN CSL_CITATION {"citationItems":[{"id":"ITEM-1","itemData":{"DOI":"10.2196/16503","ISSN":"2291-9694","author":[{"dropping-particle":"","family":"Sufriyana","given":"Herdiantri","non-dropping-particle":"","parse-names":false,"suffix":""},{"dropping-particle":"","family":"Husnayain","given":"Atina","non-dropping-particle":"","parse-names":false,"suffix":""},{"dropping-particle":"","family":"Chen","given":"Ya-Lin","non-dropping-particle":"","parse-names":false,"suffix":""},{"dropping-particle":"","family":"Kuo","given":"Chao-Yang","non-dropping-particle":"","parse-names":false,"suffix":""},{"dropping-particle":"","family":"Singh","given":"Onkar","non-dropping-particle":"","parse-names":false,"suffix":""},{"dropping-particle":"","family":"Yeh","given":"Tso-Yang","non-dropping-particle":"","parse-names":false,"suffix":""},{"dropping-particle":"","family":"Wu","given":"Yu-Wei","non-dropping-particle":"","parse-names":false,"suffix":""},{"dropping-particle":"","family":"Su","given":"Emily Chia-Yu","non-dropping-particle":"","parse-names":false,"suffix":""}],"container-title":"JMIR Medical Informatics","id":"ITEM-1","issue":"11","issued":{"date-parts":[["2020","11","17"]]},"page":"e16503","title":"Comparison of Multivariable Logistic Regression and Other Machine Learning Algorithms for Prognostic Prediction Studies in Pregnancy Care: Systematic Review and Meta-Analysis","type":"article-journal","volume":"8"},"uris":["http://www.mendeley.com/documents/?uuid=0b56e1c2-883b-4cae-9227-5aa33a68ec7f"]},{"id":"ITEM-2","itemData":{"author":[{"dropping-particle":"","family":"Kemenkes R.I.","given":"","non-dropping-particle":"","parse-names":false,"suffix":""}],"id":"ITEM-2","issued":{"date-parts":[["2022"]]},"publisher-place":"Jakarta","title":"Evaluasi Implementasi Sistem Informasi Puskesmas (SIP)","type":"report"},"uris":["http://www.mendeley.com/documents/?uuid=fc2b818a-67ed-4968-a432-2e5c4a2b1ea3"]}],"mendeley":{"formattedCitation":"(13,14)","plainTextFormattedCitation":"(13,14)","previouslyFormattedCitation":"(13,14)"},"properties":{"noteIndex":0},"schema":"https://github.com/citation-style-language/schema/raw/master/csl-citation.json"}</w:instrText>
      </w:r>
      <w:r w:rsidRPr="003E79A9">
        <w:rPr>
          <w:rFonts w:cs="Times New Roman"/>
        </w:rPr>
        <w:fldChar w:fldCharType="separate"/>
      </w:r>
      <w:r w:rsidR="00486BC6" w:rsidRPr="00486BC6">
        <w:rPr>
          <w:rFonts w:cs="Times New Roman"/>
          <w:noProof/>
        </w:rPr>
        <w:t>(13,14)</w:t>
      </w:r>
      <w:r w:rsidRPr="003E79A9">
        <w:rPr>
          <w:rFonts w:cs="Times New Roman"/>
        </w:rPr>
        <w:fldChar w:fldCharType="end"/>
      </w:r>
      <w:r>
        <w:rPr>
          <w:rFonts w:cs="Times New Roman"/>
        </w:rPr>
        <w:t xml:space="preserve"> </w:t>
      </w:r>
      <w:r w:rsidRPr="00E85075">
        <w:rPr>
          <w:rFonts w:cs="Times New Roman"/>
        </w:rPr>
        <w:t>shows that digital literacy of health workers is correlated with technology adoption, but there is no research that proves a causal relationship between digital literacy and specific service quality indicators at Community Health Centers (e.g.: waiting time, accuracy of medical records).</w:t>
      </w:r>
      <w:r>
        <w:rPr>
          <w:rFonts w:cs="Times New Roman"/>
        </w:rPr>
        <w:t xml:space="preserve"> </w:t>
      </w:r>
      <w:r w:rsidRPr="00E85075">
        <w:rPr>
          <w:rFonts w:cs="Times New Roman"/>
        </w:rPr>
        <w:t>Digital literacy includes technical skills, ethics, and data security, but research at the Community Health Center</w:t>
      </w:r>
      <w:r>
        <w:rPr>
          <w:rFonts w:cs="Times New Roman"/>
        </w:rPr>
        <w:t xml:space="preserve"> </w:t>
      </w:r>
      <w:r w:rsidRPr="003E79A9">
        <w:rPr>
          <w:rFonts w:cs="Times New Roman"/>
        </w:rPr>
        <w:fldChar w:fldCharType="begin" w:fldLock="1"/>
      </w:r>
      <w:r w:rsidR="00400570">
        <w:rPr>
          <w:rFonts w:cs="Times New Roman"/>
        </w:rPr>
        <w:instrText>ADDIN CSL_CITATION {"citationItems":[{"id":"ITEM-1","itemData":{"DOI":"10.1186/s12913-021-06344-0","ISSN":"1472-6963","author":[{"dropping-particle":"","family":"Mahmoud","given":"Zeyad","non-dropping-particle":"","parse-names":false,"suffix":""},{"dropping-particle":"","family":"Angelé-Halgand","given":"Nathalie","non-dropping-particle":"","parse-names":false,"suffix":""},{"dropping-particle":"","family":"Churruca","given":"Kate","non-dropping-particle":"","parse-names":false,"suffix":""},{"dropping-particle":"","family":"Ellis","given":"Louise A.","non-dropping-particle":"","parse-names":false,"suffix":""},{"dropping-particle":"","family":"Braithwaite","given":"Jeffrey","non-dropping-particle":"","parse-names":false,"suffix":""}],"container-title":"BMC Health Services Research","id":"ITEM-1","issue":"1","issued":{"date-parts":[["2021","12","26"]]},"page":"383","title":"The impact of lean management on frontline healthcare professionals: a scoping review of the literature","type":"article-journal","volume":"21"},"uris":["http://www.mendeley.com/documents/?uuid=3d7d1de6-7d8a-4eda-aee2-fcb37459fa8c"]}],"mendeley":{"formattedCitation":"(15)","plainTextFormattedCitation":"(15)","previouslyFormattedCitation":"(15)"},"properties":{"noteIndex":0},"schema":"https://github.com/citation-style-language/schema/raw/master/csl-citation.json"}</w:instrText>
      </w:r>
      <w:r w:rsidRPr="003E79A9">
        <w:rPr>
          <w:rFonts w:cs="Times New Roman"/>
        </w:rPr>
        <w:fldChar w:fldCharType="separate"/>
      </w:r>
      <w:r w:rsidR="00486BC6" w:rsidRPr="00486BC6">
        <w:rPr>
          <w:rFonts w:cs="Times New Roman"/>
          <w:noProof/>
        </w:rPr>
        <w:t>(15)</w:t>
      </w:r>
      <w:r w:rsidRPr="003E79A9">
        <w:rPr>
          <w:rFonts w:cs="Times New Roman"/>
        </w:rPr>
        <w:fldChar w:fldCharType="end"/>
      </w:r>
      <w:r>
        <w:rPr>
          <w:rFonts w:cs="Times New Roman"/>
        </w:rPr>
        <w:t xml:space="preserve"> </w:t>
      </w:r>
      <w:r w:rsidRPr="00E85075">
        <w:rPr>
          <w:rFonts w:cs="Times New Roman"/>
        </w:rPr>
        <w:t>only measure basic skills without exploring the impact of each dimension on service quality</w:t>
      </w:r>
      <w:r>
        <w:rPr>
          <w:rFonts w:cs="Times New Roman"/>
        </w:rPr>
        <w:t xml:space="preserve">. </w:t>
      </w:r>
      <w:r w:rsidRPr="00E85075">
        <w:rPr>
          <w:rFonts w:cs="Times New Roman"/>
        </w:rPr>
        <w:t>Although digital literacy is important, research</w:t>
      </w:r>
      <w:r>
        <w:rPr>
          <w:rFonts w:cs="Times New Roman"/>
        </w:rPr>
        <w:t xml:space="preserve"> </w:t>
      </w:r>
      <w:r w:rsidRPr="003E79A9">
        <w:rPr>
          <w:rFonts w:cs="Times New Roman"/>
        </w:rPr>
        <w:fldChar w:fldCharType="begin" w:fldLock="1"/>
      </w:r>
      <w:r w:rsidR="00400570">
        <w:rPr>
          <w:rFonts w:cs="Times New Roman"/>
        </w:rPr>
        <w:instrText>ADDIN CSL_CITATION {"citationItems":[{"id":"ITEM-1","itemData":{"DOI":"10.1016/j.hlpt.2023.100725","ISSN":"22118837","author":[{"dropping-particle":"","family":"Bonacossa de Almeida","given":"Carlos Eduardo","non-dropping-particle":"","parse-names":false,"suffix":""},{"dropping-particle":"","family":"Harbron","given":"Richard W","non-dropping-particle":"","parse-names":false,"suffix":""},{"dropping-particle":"","family":"Valle Bahia","given":"Paulo Roberto","non-dropping-particle":"","parse-names":false,"suffix":""},{"dropping-particle":"","family":"Murta Dovales","given":"Ana Cristina","non-dropping-particle":"","parse-names":false,"suffix":""}],"container-title":"Health Policy and Technology","id":"ITEM-1","issue":"1","issued":{"date-parts":[["2023","3"]]},"page":"100725","title":"The impact of the COVID-19 pandemic on the use of diagnostic imaging examinations in the Brazilian unified healthcare system (SUS)","type":"article-journal","volume":"12"},"uris":["http://www.mendeley.com/documents/?uuid=84371bcc-0ba6-40f8-b5a1-6b1c519e01bc"]}],"mendeley":{"formattedCitation":"(16)","plainTextFormattedCitation":"(16)","previouslyFormattedCitation":"(16)"},"properties":{"noteIndex":0},"schema":"https://github.com/citation-style-language/schema/raw/master/csl-citation.json"}</w:instrText>
      </w:r>
      <w:r w:rsidRPr="003E79A9">
        <w:rPr>
          <w:rFonts w:cs="Times New Roman"/>
        </w:rPr>
        <w:fldChar w:fldCharType="separate"/>
      </w:r>
      <w:r w:rsidR="00486BC6" w:rsidRPr="00486BC6">
        <w:rPr>
          <w:rFonts w:cs="Times New Roman"/>
          <w:noProof/>
        </w:rPr>
        <w:t>(16)</w:t>
      </w:r>
      <w:r w:rsidRPr="003E79A9">
        <w:rPr>
          <w:rFonts w:cs="Times New Roman"/>
        </w:rPr>
        <w:fldChar w:fldCharType="end"/>
      </w:r>
      <w:r>
        <w:rPr>
          <w:rFonts w:cs="Times New Roman"/>
        </w:rPr>
        <w:t xml:space="preserve"> </w:t>
      </w:r>
      <w:r w:rsidRPr="00E85075">
        <w:rPr>
          <w:rFonts w:cs="Times New Roman"/>
        </w:rPr>
        <w:t>ignoring infrastructure factors (internet connectivity, device availability) that may influence the digital literacy of Community Health Center officers.</w:t>
      </w:r>
    </w:p>
    <w:p w14:paraId="284114B5" w14:textId="77777777" w:rsidR="00E85075" w:rsidRDefault="00E85075" w:rsidP="006D74F4">
      <w:pPr>
        <w:jc w:val="both"/>
        <w:rPr>
          <w:rFonts w:cs="Times New Roman"/>
        </w:rPr>
      </w:pPr>
    </w:p>
    <w:p w14:paraId="63C43127" w14:textId="719CACA2" w:rsidR="00E85075" w:rsidRPr="00EC7B09" w:rsidRDefault="00EC7B09" w:rsidP="00971DA3">
      <w:pPr>
        <w:pStyle w:val="Heading1"/>
      </w:pPr>
      <w:r w:rsidRPr="00EC7B09">
        <w:t>Instruments and Methods</w:t>
      </w:r>
    </w:p>
    <w:p w14:paraId="11B50BFE" w14:textId="6999D09C" w:rsidR="007409D3" w:rsidRPr="007409D3" w:rsidRDefault="007409D3" w:rsidP="00804976">
      <w:pPr>
        <w:jc w:val="both"/>
        <w:rPr>
          <w:b/>
        </w:rPr>
      </w:pPr>
      <w:r w:rsidRPr="007409D3">
        <w:rPr>
          <w:b/>
        </w:rPr>
        <w:t>Study Design</w:t>
      </w:r>
    </w:p>
    <w:p w14:paraId="0A5D22A7" w14:textId="4DFE9F93" w:rsidR="008D148D" w:rsidRDefault="00155D76" w:rsidP="00804976">
      <w:pPr>
        <w:jc w:val="both"/>
        <w:rPr>
          <w:rFonts w:cs="Times New Roman"/>
          <w:color w:val="000000"/>
        </w:rPr>
      </w:pPr>
      <w:r w:rsidRPr="00123F5D">
        <w:rPr>
          <w:highlight w:val="yellow"/>
        </w:rPr>
        <w:t>This research was conducted from August to November 2025</w:t>
      </w:r>
      <w:r>
        <w:t xml:space="preserve">. </w:t>
      </w:r>
      <w:r w:rsidR="00804976" w:rsidRPr="00804976">
        <w:t>This type of research is quantitative and</w:t>
      </w:r>
      <w:r w:rsidR="00F1005E">
        <w:t xml:space="preserve"> using</w:t>
      </w:r>
      <w:r w:rsidR="00804976" w:rsidRPr="00804976">
        <w:t xml:space="preserve"> explanatory research, which attempts to explain existing phenomena. </w:t>
      </w:r>
      <w:r w:rsidR="009C004D" w:rsidRPr="009C004D">
        <w:t>Explanatory research Research that is designed to clarify the position of variables being studied and indicate the nature of the relationships between them</w:t>
      </w:r>
      <w:r w:rsidR="00804976">
        <w:t xml:space="preserve"> </w:t>
      </w:r>
      <w:r w:rsidR="00804976" w:rsidRPr="003E79A9">
        <w:rPr>
          <w:rFonts w:cs="Times New Roman"/>
          <w:color w:val="000000"/>
        </w:rPr>
        <w:fldChar w:fldCharType="begin" w:fldLock="1"/>
      </w:r>
      <w:r w:rsidR="00400570">
        <w:rPr>
          <w:rFonts w:cs="Times New Roman"/>
          <w:color w:val="000000"/>
        </w:rPr>
        <w:instrText>ADDIN CSL_CITATION {"citationItems":[{"id":"ITEM-1","itemData":{"author":[{"dropping-particle":"","family":"Sugiyono","given":"","non-dropping-particle":"","parse-names":false,"suffix":""}],"id":"ITEM-1","issued":{"date-parts":[["2017"]]},"publisher":"CV. Alfabeta","publisher-place":"Bandung","title":"Metode Penelitian Kuantitatif, Kualitatif, dan R&amp;D","type":"book"},"uris":["http://www.mendeley.com/documents/?uuid=4ce99586-d71f-41be-a718-6bd5a08af46d"]}],"mendeley":{"formattedCitation":"(17)","plainTextFormattedCitation":"(17)","previouslyFormattedCitation":"(17)"},"properties":{"noteIndex":0},"schema":"https://github.com/citation-style-language/schema/raw/master/csl-citation.json"}</w:instrText>
      </w:r>
      <w:r w:rsidR="00804976" w:rsidRPr="003E79A9">
        <w:rPr>
          <w:rFonts w:cs="Times New Roman"/>
          <w:color w:val="000000"/>
        </w:rPr>
        <w:fldChar w:fldCharType="separate"/>
      </w:r>
      <w:r w:rsidR="00486BC6" w:rsidRPr="00486BC6">
        <w:rPr>
          <w:rFonts w:cs="Times New Roman"/>
          <w:noProof/>
          <w:color w:val="000000"/>
        </w:rPr>
        <w:t>(17)</w:t>
      </w:r>
      <w:r w:rsidR="00804976" w:rsidRPr="003E79A9">
        <w:rPr>
          <w:rFonts w:cs="Times New Roman"/>
          <w:color w:val="000000"/>
        </w:rPr>
        <w:fldChar w:fldCharType="end"/>
      </w:r>
      <w:r w:rsidR="00804976" w:rsidRPr="003E79A9">
        <w:rPr>
          <w:rFonts w:cs="Times New Roman"/>
          <w:color w:val="000000"/>
        </w:rPr>
        <w:t>.</w:t>
      </w:r>
      <w:r w:rsidR="00804976">
        <w:t xml:space="preserve"> </w:t>
      </w:r>
      <w:r w:rsidR="00C45FC7" w:rsidRPr="00C45FC7">
        <w:t>The research method employed are the analytic survey. Analytical survey studies could not only detect if a factor had been involved in an event, but to what degree through correlation studies</w:t>
      </w:r>
      <w:r w:rsidR="00C029DF">
        <w:t xml:space="preserve"> </w:t>
      </w:r>
      <w:r w:rsidR="00C029DF" w:rsidRPr="003E79A9">
        <w:rPr>
          <w:rFonts w:cs="Times New Roman"/>
          <w:color w:val="000000"/>
        </w:rPr>
        <w:fldChar w:fldCharType="begin" w:fldLock="1"/>
      </w:r>
      <w:r w:rsidR="00400570">
        <w:rPr>
          <w:rFonts w:cs="Times New Roman"/>
          <w:color w:val="000000"/>
        </w:rPr>
        <w:instrText>ADDIN CSL_CITATION {"citationItems":[{"id":"ITEM-1","itemData":{"author":[{"dropping-particle":"","family":"Notoadmojo","given":"Soekidjo","non-dropping-particle":"","parse-names":false,"suffix":""}],"id":"ITEM-1","issued":{"date-parts":[["2018"]]},"publisher":"Rineka Cipta","publisher-place":"Jakarta","title":"Metodologi Penelitian Kesehatan.","type":"book"},"uris":["http://www.mendeley.com/documents/?uuid=73313030-5735-4ad8-8dfc-67acbcfb5137"]}],"mendeley":{"formattedCitation":"(18)","plainTextFormattedCitation":"(18)","previouslyFormattedCitation":"(18)"},"properties":{"noteIndex":0},"schema":"https://github.com/citation-style-language/schema/raw/master/csl-citation.json"}</w:instrText>
      </w:r>
      <w:r w:rsidR="00C029DF" w:rsidRPr="003E79A9">
        <w:rPr>
          <w:rFonts w:cs="Times New Roman"/>
          <w:color w:val="000000"/>
        </w:rPr>
        <w:fldChar w:fldCharType="separate"/>
      </w:r>
      <w:r w:rsidR="00486BC6" w:rsidRPr="00486BC6">
        <w:rPr>
          <w:rFonts w:cs="Times New Roman"/>
          <w:noProof/>
          <w:color w:val="000000"/>
        </w:rPr>
        <w:t>(18)</w:t>
      </w:r>
      <w:r w:rsidR="00C029DF" w:rsidRPr="003E79A9">
        <w:rPr>
          <w:rFonts w:cs="Times New Roman"/>
          <w:color w:val="000000"/>
        </w:rPr>
        <w:fldChar w:fldCharType="end"/>
      </w:r>
      <w:r w:rsidR="00C029DF" w:rsidRPr="003E79A9">
        <w:rPr>
          <w:rFonts w:cs="Times New Roman"/>
          <w:color w:val="000000"/>
        </w:rPr>
        <w:t>.</w:t>
      </w:r>
      <w:r w:rsidR="00C029DF">
        <w:rPr>
          <w:rFonts w:cs="Times New Roman"/>
          <w:color w:val="000000"/>
        </w:rPr>
        <w:t xml:space="preserve"> </w:t>
      </w:r>
      <w:r w:rsidR="00C029DF" w:rsidRPr="00C029DF">
        <w:rPr>
          <w:rFonts w:cs="Times New Roman"/>
          <w:color w:val="000000"/>
        </w:rPr>
        <w:t>The variables and indicators studied are presented in the research model as follows:</w:t>
      </w:r>
    </w:p>
    <w:p w14:paraId="17FF1856" w14:textId="2C69093B" w:rsidR="00C029DF" w:rsidRDefault="00C029DF" w:rsidP="00804976">
      <w:pPr>
        <w:jc w:val="both"/>
      </w:pPr>
      <w:r>
        <w:rPr>
          <w:rFonts w:cs="Times New Roman"/>
          <w:b/>
          <w:noProof/>
        </w:rPr>
        <w:drawing>
          <wp:inline distT="0" distB="0" distL="0" distR="0" wp14:anchorId="5493F825" wp14:editId="2B4A8125">
            <wp:extent cx="5395988" cy="263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ep Penelitian Literasi Digital Inggris.png"/>
                    <pic:cNvPicPr/>
                  </pic:nvPicPr>
                  <pic:blipFill>
                    <a:blip r:embed="rId5">
                      <a:extLst>
                        <a:ext uri="{28A0092B-C50C-407E-A947-70E740481C1C}">
                          <a14:useLocalDpi xmlns:a14="http://schemas.microsoft.com/office/drawing/2010/main" val="0"/>
                        </a:ext>
                      </a:extLst>
                    </a:blip>
                    <a:stretch>
                      <a:fillRect/>
                    </a:stretch>
                  </pic:blipFill>
                  <pic:spPr>
                    <a:xfrm>
                      <a:off x="0" y="0"/>
                      <a:ext cx="5396230" cy="2632193"/>
                    </a:xfrm>
                    <a:prstGeom prst="rect">
                      <a:avLst/>
                    </a:prstGeom>
                  </pic:spPr>
                </pic:pic>
              </a:graphicData>
            </a:graphic>
          </wp:inline>
        </w:drawing>
      </w:r>
    </w:p>
    <w:p w14:paraId="704C2764" w14:textId="7439DEC9" w:rsidR="00C029DF" w:rsidRDefault="00C029DF" w:rsidP="00C029DF">
      <w:pPr>
        <w:jc w:val="center"/>
      </w:pPr>
      <w:r w:rsidRPr="00C029DF">
        <w:rPr>
          <w:b/>
        </w:rPr>
        <w:t>Figure 1</w:t>
      </w:r>
      <w:r w:rsidRPr="00C029DF">
        <w:t>. Research Model</w:t>
      </w:r>
    </w:p>
    <w:p w14:paraId="34960C58" w14:textId="77777777" w:rsidR="004E746F" w:rsidRDefault="004E746F" w:rsidP="00804976">
      <w:pPr>
        <w:jc w:val="both"/>
      </w:pPr>
    </w:p>
    <w:p w14:paraId="4CE4D97F" w14:textId="367330B7" w:rsidR="007409D3" w:rsidRPr="00786CB9" w:rsidRDefault="00786CB9" w:rsidP="00804976">
      <w:pPr>
        <w:jc w:val="both"/>
        <w:rPr>
          <w:b/>
        </w:rPr>
      </w:pPr>
      <w:r w:rsidRPr="00786CB9">
        <w:rPr>
          <w:b/>
        </w:rPr>
        <w:t>Sample</w:t>
      </w:r>
    </w:p>
    <w:p w14:paraId="7C20B185" w14:textId="129E557D" w:rsidR="00786CB9" w:rsidRDefault="004E746F" w:rsidP="00804976">
      <w:pPr>
        <w:jc w:val="both"/>
      </w:pPr>
      <w:r w:rsidRPr="004E746F">
        <w:t>The method of sampling/respondents at the research location used proportional random sampling techniques to determine the number of respondents at each Community Health Center, while at the Community Health Center, purposive sampling techniques were used.</w:t>
      </w:r>
      <w:r>
        <w:t xml:space="preserve"> </w:t>
      </w:r>
      <w:r w:rsidRPr="004E746F">
        <w:t>The number of samples was 224 people from the 504 existing population of Health Center employees in Kendari City.</w:t>
      </w:r>
    </w:p>
    <w:p w14:paraId="42037037" w14:textId="77777777" w:rsidR="009F50FD" w:rsidRDefault="009F50FD" w:rsidP="00804976">
      <w:pPr>
        <w:jc w:val="both"/>
      </w:pPr>
    </w:p>
    <w:p w14:paraId="0D4741BE" w14:textId="1BC88DF8" w:rsidR="00786CB9" w:rsidRPr="00786CB9" w:rsidRDefault="00786CB9" w:rsidP="00804976">
      <w:pPr>
        <w:jc w:val="both"/>
        <w:rPr>
          <w:b/>
        </w:rPr>
      </w:pPr>
      <w:r w:rsidRPr="00786CB9">
        <w:rPr>
          <w:b/>
        </w:rPr>
        <w:t>Research tools</w:t>
      </w:r>
    </w:p>
    <w:p w14:paraId="0D6925DF" w14:textId="472AFC7C" w:rsidR="00BC7D70" w:rsidRDefault="00917C7B" w:rsidP="004D0D85">
      <w:pPr>
        <w:jc w:val="both"/>
      </w:pPr>
      <w:r w:rsidRPr="00917C7B">
        <w:t xml:space="preserve">The questionnaire was utilized to collect data </w:t>
      </w:r>
      <w:r w:rsidR="00457736" w:rsidRPr="00457736">
        <w:t>and distributed to health center officers in Kendari City</w:t>
      </w:r>
      <w:r w:rsidR="00457736">
        <w:t>.</w:t>
      </w:r>
      <w:r w:rsidR="004D0D85">
        <w:t xml:space="preserve"> </w:t>
      </w:r>
      <w:r w:rsidR="004D0D85" w:rsidRPr="004D0D85">
        <w:t>To ensure the quality of the data obtained, validity and reliability tests were conducted on the questionnaires used</w:t>
      </w:r>
      <w:r w:rsidRPr="00917C7B">
        <w:t xml:space="preserve">. </w:t>
      </w:r>
    </w:p>
    <w:p w14:paraId="4DB299A3" w14:textId="77777777" w:rsidR="00BC7D70" w:rsidRDefault="00BC7D70" w:rsidP="004D0D85">
      <w:pPr>
        <w:jc w:val="both"/>
      </w:pPr>
    </w:p>
    <w:p w14:paraId="1502CDCB" w14:textId="4518F252" w:rsidR="00BC7D70" w:rsidRPr="00BC7D70" w:rsidRDefault="00BC7D70" w:rsidP="004D0D85">
      <w:pPr>
        <w:jc w:val="both"/>
        <w:rPr>
          <w:b/>
          <w:i/>
        </w:rPr>
      </w:pPr>
      <w:r w:rsidRPr="00BC7D70">
        <w:rPr>
          <w:b/>
          <w:i/>
        </w:rPr>
        <w:t>Instrument Validity and Reliability Test</w:t>
      </w:r>
    </w:p>
    <w:p w14:paraId="69150875" w14:textId="4C5ACB0E" w:rsidR="00BC7D70" w:rsidRPr="00123F5D" w:rsidRDefault="00BC7D70" w:rsidP="004D0D85">
      <w:pPr>
        <w:jc w:val="both"/>
        <w:rPr>
          <w:highlight w:val="yellow"/>
        </w:rPr>
      </w:pPr>
      <w:r w:rsidRPr="00123F5D">
        <w:rPr>
          <w:highlight w:val="yellow"/>
        </w:rPr>
        <w:t xml:space="preserve">The research instrument was tested to ensure the validity and reliability of the questionnaire. The testing was conducted using SmartPLS 3.0 software using the Partial Least Squares Structural Equation Modeling (PLS-SEM) approach. The PLS-SEM method was chosen for its ability to analyze complex relationships between variables and its flexibility with data distribution assumptions. </w:t>
      </w:r>
    </w:p>
    <w:p w14:paraId="57BCDEFA" w14:textId="77777777" w:rsidR="00BC7D70" w:rsidRPr="00123F5D" w:rsidRDefault="00BC7D70" w:rsidP="004D0D85">
      <w:pPr>
        <w:jc w:val="both"/>
        <w:rPr>
          <w:highlight w:val="yellow"/>
        </w:rPr>
      </w:pPr>
    </w:p>
    <w:p w14:paraId="0B0B77C1" w14:textId="7C77A5C7" w:rsidR="00BC7D70" w:rsidRPr="00123F5D" w:rsidRDefault="00BC7D70" w:rsidP="004D0D85">
      <w:pPr>
        <w:jc w:val="both"/>
        <w:rPr>
          <w:b/>
          <w:highlight w:val="yellow"/>
        </w:rPr>
      </w:pPr>
      <w:r w:rsidRPr="00123F5D">
        <w:rPr>
          <w:b/>
          <w:highlight w:val="yellow"/>
        </w:rPr>
        <w:t>a. Validity Test</w:t>
      </w:r>
    </w:p>
    <w:p w14:paraId="151FC78B" w14:textId="5DDEEF8A" w:rsidR="00BC7D70" w:rsidRPr="00123F5D" w:rsidRDefault="00BC7D70" w:rsidP="004D0D85">
      <w:pPr>
        <w:jc w:val="both"/>
        <w:rPr>
          <w:highlight w:val="yellow"/>
        </w:rPr>
      </w:pPr>
      <w:r w:rsidRPr="00123F5D">
        <w:rPr>
          <w:highlight w:val="yellow"/>
        </w:rPr>
        <w:t xml:space="preserve">Instrument validity is tested through two aspects: convergent validity and discriminant validity. Convergent validity is measured using the outer loading value and Average Variance Extracted (AVE). Each indicator must have an outer loading value ≥ 0.70 to be considered valid </w:t>
      </w:r>
      <w:r w:rsidR="008E1402" w:rsidRPr="00123F5D">
        <w:rPr>
          <w:highlight w:val="yellow"/>
        </w:rPr>
        <w:fldChar w:fldCharType="begin" w:fldLock="1"/>
      </w:r>
      <w:r w:rsidR="00400570" w:rsidRPr="00123F5D">
        <w:rPr>
          <w:highlight w:val="yellow"/>
        </w:rPr>
        <w:instrText>ADDIN CSL_CITATION {"citationItems":[{"id":"ITEM-1","itemData":{"ISBN":"978-3-030-80519-7","author":[{"dropping-particle":"","family":"Hair","given":"Joseph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P.","non-dropping-particle":"","parse-names":false,"suffix":""},{"dropping-particle":"","family":"Ray","given":"Soumya","non-dropping-particle":"","parse-names":false,"suffix":""}],"id":"ITEM-1","issued":{"date-parts":[["2021"]]},"publisher":"Springer","title":"Partial Least Squares Structural Equation Modeling (PLS-SEM) Using R","type":"book"},"uris":["http://www.mendeley.com/documents/?uuid=b1b31e39-ab14-4c8c-ae49-8b28f4165885"]}],"mendeley":{"formattedCitation":"(19)","plainTextFormattedCitation":"(19)","previouslyFormattedCitation":"(19)"},"properties":{"noteIndex":0},"schema":"https://github.com/citation-style-language/schema/raw/master/csl-citation.json"}</w:instrText>
      </w:r>
      <w:r w:rsidR="008E1402" w:rsidRPr="00123F5D">
        <w:rPr>
          <w:highlight w:val="yellow"/>
        </w:rPr>
        <w:fldChar w:fldCharType="separate"/>
      </w:r>
      <w:r w:rsidR="00486BC6" w:rsidRPr="00123F5D">
        <w:rPr>
          <w:noProof/>
          <w:highlight w:val="yellow"/>
        </w:rPr>
        <w:t>(19)</w:t>
      </w:r>
      <w:r w:rsidR="008E1402" w:rsidRPr="00123F5D">
        <w:rPr>
          <w:highlight w:val="yellow"/>
        </w:rPr>
        <w:fldChar w:fldCharType="end"/>
      </w:r>
      <w:r w:rsidRPr="00123F5D">
        <w:rPr>
          <w:highlight w:val="yellow"/>
        </w:rPr>
        <w:t xml:space="preserve">. Furthermore, the AVE value for each latent variable must be ≥ 0.50, indicating that the variable is able to explain more than half of the variance in its indicators. In addition, the AVE value of each latent variable must be ≥ 0.50, which indicates that the variable is able to explain more than half of the variance of its indicators </w:t>
      </w:r>
      <w:r w:rsidR="00171675" w:rsidRPr="00123F5D">
        <w:rPr>
          <w:highlight w:val="yellow"/>
        </w:rPr>
        <w:t xml:space="preserve"> </w:t>
      </w:r>
      <w:r w:rsidR="00171675" w:rsidRPr="00123F5D">
        <w:rPr>
          <w:highlight w:val="yellow"/>
        </w:rPr>
        <w:fldChar w:fldCharType="begin" w:fldLock="1"/>
      </w:r>
      <w:r w:rsidR="00400570" w:rsidRPr="00123F5D">
        <w:rPr>
          <w:highlight w:val="yellow"/>
        </w:rPr>
        <w:instrText>ADDIN CSL_CITATION {"citationItems":[{"id":"ITEM-1","itemData":{"author":[{"dropping-particle":"","family":"Fornell","given":"C","non-dropping-particle":"","parse-names":false,"suffix":""},{"dropping-particle":"","family":"Larcker","given":"D. F","non-dropping-particle":"","parse-names":false,"suffix":""}],"container-title":"Journal of Marketing Research","id":"ITEM-1","issued":{"date-parts":[["1981"]]},"page":"382-388","title":"Structural Equation Models with Unobservable Variables and Measurement Error: Algebra and Statistics","type":"article-journal","volume":"18"},"uris":["http://www.mendeley.com/documents/?uuid=c53f5bfc-df2e-4fb8-a29e-55fa8d4800c8"]}],"mendeley":{"formattedCitation":"(20)","plainTextFormattedCitation":"(20)","previouslyFormattedCitation":"(20)"},"properties":{"noteIndex":0},"schema":"https://github.com/citation-style-language/schema/raw/master/csl-citation.json"}</w:instrText>
      </w:r>
      <w:r w:rsidR="00171675" w:rsidRPr="00123F5D">
        <w:rPr>
          <w:highlight w:val="yellow"/>
        </w:rPr>
        <w:fldChar w:fldCharType="separate"/>
      </w:r>
      <w:r w:rsidR="00486BC6" w:rsidRPr="00123F5D">
        <w:rPr>
          <w:noProof/>
          <w:highlight w:val="yellow"/>
        </w:rPr>
        <w:t>(20)</w:t>
      </w:r>
      <w:r w:rsidR="00171675" w:rsidRPr="00123F5D">
        <w:rPr>
          <w:highlight w:val="yellow"/>
        </w:rPr>
        <w:fldChar w:fldCharType="end"/>
      </w:r>
      <w:r w:rsidR="00171675" w:rsidRPr="00123F5D">
        <w:rPr>
          <w:highlight w:val="yellow"/>
        </w:rPr>
        <w:t>.</w:t>
      </w:r>
    </w:p>
    <w:p w14:paraId="03C2F1B8" w14:textId="77777777" w:rsidR="00BC7D70" w:rsidRPr="00123F5D" w:rsidRDefault="00BC7D70" w:rsidP="004D0D85">
      <w:pPr>
        <w:jc w:val="both"/>
        <w:rPr>
          <w:highlight w:val="yellow"/>
        </w:rPr>
      </w:pPr>
    </w:p>
    <w:p w14:paraId="51FDF064" w14:textId="52099C3F" w:rsidR="00BC7D70" w:rsidRPr="00123F5D" w:rsidRDefault="00BC7D70" w:rsidP="004D0D85">
      <w:pPr>
        <w:jc w:val="both"/>
        <w:rPr>
          <w:b/>
          <w:highlight w:val="yellow"/>
        </w:rPr>
      </w:pPr>
      <w:r w:rsidRPr="00123F5D">
        <w:rPr>
          <w:b/>
          <w:highlight w:val="yellow"/>
        </w:rPr>
        <w:t xml:space="preserve">b. </w:t>
      </w:r>
      <w:r w:rsidR="004E6FE5" w:rsidRPr="00123F5D">
        <w:rPr>
          <w:b/>
          <w:highlight w:val="yellow"/>
        </w:rPr>
        <w:t>Reliability Test</w:t>
      </w:r>
    </w:p>
    <w:p w14:paraId="47FEB859" w14:textId="095CB752" w:rsidR="00A0165E" w:rsidRPr="00123F5D" w:rsidRDefault="00BC7D70" w:rsidP="004D0D85">
      <w:pPr>
        <w:jc w:val="both"/>
      </w:pPr>
      <w:r w:rsidRPr="00123F5D">
        <w:rPr>
          <w:highlight w:val="yellow"/>
        </w:rPr>
        <w:t xml:space="preserve">Instrument reliability was tested using Cronbach's Alpha and Composite Reliability (CR). Cronbach's Alpha and CR values ​​must be ≥ 0.70 to indicate good internal consistency </w:t>
      </w:r>
      <w:r w:rsidR="00FC17B9" w:rsidRPr="00123F5D">
        <w:rPr>
          <w:highlight w:val="yellow"/>
        </w:rPr>
        <w:fldChar w:fldCharType="begin" w:fldLock="1"/>
      </w:r>
      <w:r w:rsidR="00400570" w:rsidRPr="00123F5D">
        <w:rPr>
          <w:highlight w:val="yellow"/>
        </w:rPr>
        <w:instrText>ADDIN CSL_CITATION {"citationItems":[{"id":"ITEM-1","itemData":{"ISBN":"007047849X, 9780070478497","author":[{"dropping-particle":"","family":"Nunnally","given":"J.C","non-dropping-particle":"","parse-names":false,"suffix":""},{"dropping-particle":"","family":"Bernstein","given":"I.H","non-dropping-particle":"","parse-names":false,"suffix":""}],"id":"ITEM-1","issued":{"date-parts":[["1994"]]},"number-of-pages":"248-292","publisher":"McGraw-Hill Companies,Incorporated","publisher-place":"Michigan","title":"The Assessment of Reliability. Psychometric Theory","type":"book"},"uris":["http://www.mendeley.com/documents/?uuid=17304c84-bc97-4b73-a17b-1863992e183d"]},{"id":"ITEM-2","itemData":{"ISBN":"978-3-030-80519-7","author":[{"dropping-particle":"","family":"Hair","given":"Joseph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P.","non-dropping-particle":"","parse-names":false,"suffix":""},{"dropping-particle":"","family":"Ray","given":"Soumya","non-dropping-particle":"","parse-names":false,"suffix":""}],"id":"ITEM-2","issued":{"date-parts":[["2021"]]},"publisher":"Springer","title":"Partial Least Squares Structural Equation Modeling (PLS-SEM) Using R","type":"book"},"uris":["http://www.mendeley.com/documents/?uuid=b1b31e39-ab14-4c8c-ae49-8b28f4165885"]},{"id":"ITEM-3","itemData":{"author":[{"dropping-particle":"","family":"Chin","given":"W. W.","non-dropping-particle":"","parse-names":false,"suffix":""}],"id":"ITEM-3","issued":{"date-parts":[["1998"]]},"title":"The partial least squares approach to structural equation modeling","type":"book"},"uris":["http://www.mendeley.com/documents/?uuid=4472566a-edce-49b4-bf5d-b6ce02ca4667"]},{"id":"ITEM-4","itemData":{"author":[{"dropping-particle":"","family":"Ghozali","given":"I.","non-dropping-particle":"","parse-names":false,"suffix":""},{"dropping-particle":"","family":"Latan","given":"H.","non-dropping-particle":"","parse-names":false,"suffix":""}],"id":"ITEM-4","issued":{"date-parts":[["2014"]]},"publisher":"Universitas Diponegoro","publisher-place":"Semarang","title":"Partial least square concepts, methods and applications using the WarpPLS 5.0 program","type":"book"},"uris":["http://www.mendeley.com/documents/?uuid=7e969edc-88e2-49b5-a949-b5153d796fcd"]}],"mendeley":{"formattedCitation":"(19,21–23)","plainTextFormattedCitation":"(19,21–23)","previouslyFormattedCitation":"(19,21–23)"},"properties":{"noteIndex":0},"schema":"https://github.com/citation-style-language/schema/raw/master/csl-citation.json"}</w:instrText>
      </w:r>
      <w:r w:rsidR="00FC17B9" w:rsidRPr="00123F5D">
        <w:rPr>
          <w:highlight w:val="yellow"/>
        </w:rPr>
        <w:fldChar w:fldCharType="separate"/>
      </w:r>
      <w:r w:rsidR="00486BC6" w:rsidRPr="00123F5D">
        <w:rPr>
          <w:noProof/>
          <w:highlight w:val="yellow"/>
        </w:rPr>
        <w:t>(19,21–23)</w:t>
      </w:r>
      <w:r w:rsidR="00FC17B9" w:rsidRPr="00123F5D">
        <w:rPr>
          <w:highlight w:val="yellow"/>
        </w:rPr>
        <w:fldChar w:fldCharType="end"/>
      </w:r>
      <w:r w:rsidRPr="00123F5D">
        <w:rPr>
          <w:highlight w:val="yellow"/>
        </w:rPr>
        <w:t>. Composite Reliability is considered superior because it takes into account the different weights of each indicator in measuring the latent variable. If there are indicators that do not meet the validity or reliability criteria, these indicators will be eliminated from the model and retested until all criteria are met</w:t>
      </w:r>
      <w:r w:rsidR="004E6FE5" w:rsidRPr="00123F5D">
        <w:rPr>
          <w:highlight w:val="yellow"/>
        </w:rPr>
        <w:t>.</w:t>
      </w:r>
    </w:p>
    <w:p w14:paraId="18F4D5E9" w14:textId="77777777" w:rsidR="009F50FD" w:rsidRDefault="009F50FD" w:rsidP="004D0D85">
      <w:pPr>
        <w:jc w:val="both"/>
      </w:pPr>
    </w:p>
    <w:p w14:paraId="11F2FA50" w14:textId="1E9FEDA6" w:rsidR="00A0165E" w:rsidRPr="00A0165E" w:rsidRDefault="00A0165E" w:rsidP="004D0D85">
      <w:pPr>
        <w:jc w:val="both"/>
        <w:rPr>
          <w:b/>
        </w:rPr>
      </w:pPr>
      <w:r w:rsidRPr="00A0165E">
        <w:rPr>
          <w:b/>
        </w:rPr>
        <w:t>Data collection</w:t>
      </w:r>
    </w:p>
    <w:p w14:paraId="31798995" w14:textId="34950B17" w:rsidR="00A0165E" w:rsidRDefault="0076471E" w:rsidP="004D0D85">
      <w:pPr>
        <w:jc w:val="both"/>
      </w:pPr>
      <w:r w:rsidRPr="0076471E">
        <w:t>Data collection utilized various methods to obtain comprehensive information on healthcare workers' digital literacy, policies, and supporting infrastructure. Data were collected using questionnaires distributed to community health center staff in Kendari City. Secondary data were also obtained from administrative records at the community health centers. The data collection process was conducted with the consent of the participants, and confidentiality was guaranteed to maintain the validity of the data obtained.</w:t>
      </w:r>
    </w:p>
    <w:p w14:paraId="053218D3" w14:textId="77777777" w:rsidR="009F50FD" w:rsidRDefault="009F50FD" w:rsidP="004D0D85">
      <w:pPr>
        <w:jc w:val="both"/>
      </w:pPr>
    </w:p>
    <w:p w14:paraId="54D74786" w14:textId="3BF338A3" w:rsidR="0076471E" w:rsidRPr="00BA6DCF" w:rsidRDefault="00BA6DCF" w:rsidP="004D0D85">
      <w:pPr>
        <w:jc w:val="both"/>
        <w:rPr>
          <w:b/>
        </w:rPr>
      </w:pPr>
      <w:r w:rsidRPr="00BA6DCF">
        <w:rPr>
          <w:b/>
        </w:rPr>
        <w:t>Satistic analysis</w:t>
      </w:r>
    </w:p>
    <w:p w14:paraId="7D8C39F1" w14:textId="51A670ED" w:rsidR="005F4414" w:rsidRDefault="00BF5144" w:rsidP="004D0D85">
      <w:pPr>
        <w:jc w:val="both"/>
      </w:pPr>
      <w:r w:rsidRPr="00BF5144">
        <w:t>The inferential analysis that is employed to test the hypothesis in this research is Structural Equation Modeling (SEM) with PLS (Partial Least Square) method. Evidence of estimation of indicators and constructs is identified by applying tests for validity and reliability</w:t>
      </w:r>
      <w:r w:rsidR="00FC17B9">
        <w:t xml:space="preserve"> </w:t>
      </w:r>
      <w:r w:rsidR="00FC17B9" w:rsidRPr="003E79A9">
        <w:rPr>
          <w:rFonts w:cs="Times New Roman"/>
          <w:color w:val="000000"/>
        </w:rPr>
        <w:fldChar w:fldCharType="begin" w:fldLock="1"/>
      </w:r>
      <w:r w:rsidR="00400570">
        <w:rPr>
          <w:rFonts w:cs="Times New Roman"/>
          <w:color w:val="000000"/>
        </w:rPr>
        <w:instrText>ADDIN CSL_CITATION {"citationItems":[{"id":"ITEM-1","itemData":{"author":[{"dropping-particle":"","family":"Sarwono","given":"J.","non-dropping-particle":"","parse-names":false,"suffix":""},{"dropping-particle":"","family":"Narimawati","given":"U.","non-dropping-particle":"","parse-names":false,"suffix":""}],"id":"ITEM-1","issued":{"date-parts":[["2015"]]},"publisher":"ANDI","publisher-place":"Yogyakarta","title":"Membuat skripsi, tesis, dan disertasi dengan partial least square sem (pls-sem). (","type":"book"},"uris":["http://www.mendeley.com/documents/?uuid=f4120a8c-0994-47a8-8f3a-30cadcf6e465"]},{"id":"ITEM-2","itemData":{"author":[{"dropping-particle":"","family":"Fornell","given":"C.","non-dropping-particle":"","parse-names":false,"suffix":""},{"dropping-particle":"","family":"Larcker","given":"D. F.","non-dropping-particle":"","parse-names":false,"suffix":""}],"id":"ITEM-2","issued":{"date-parts":[["1981"]]},"title":"Structural equation models with unobservable variables and measurement error: Algebra and statistics","type":"book"},"uris":["http://www.mendeley.com/documents/?uuid=2abe69b8-a695-4d49-acea-12b6e046034c"]}],"mendeley":{"formattedCitation":"(24,25)","plainTextFormattedCitation":"(24,25)","previouslyFormattedCitation":"(24,25)"},"properties":{"noteIndex":0},"schema":"https://github.com/citation-style-language/schema/raw/master/csl-citation.json"}</w:instrText>
      </w:r>
      <w:r w:rsidR="00FC17B9" w:rsidRPr="003E79A9">
        <w:rPr>
          <w:rFonts w:cs="Times New Roman"/>
          <w:color w:val="000000"/>
        </w:rPr>
        <w:fldChar w:fldCharType="separate"/>
      </w:r>
      <w:r w:rsidR="00486BC6" w:rsidRPr="00486BC6">
        <w:rPr>
          <w:rFonts w:cs="Times New Roman"/>
          <w:noProof/>
          <w:color w:val="000000"/>
        </w:rPr>
        <w:t>(24,25)</w:t>
      </w:r>
      <w:r w:rsidR="00FC17B9" w:rsidRPr="003E79A9">
        <w:rPr>
          <w:rFonts w:cs="Times New Roman"/>
          <w:color w:val="000000"/>
        </w:rPr>
        <w:fldChar w:fldCharType="end"/>
      </w:r>
      <w:r w:rsidR="001905DC" w:rsidRPr="001905DC">
        <w:t xml:space="preserve">. </w:t>
      </w:r>
      <w:r w:rsidR="00FC17B9">
        <w:t xml:space="preserve"> </w:t>
      </w:r>
      <w:r w:rsidR="00DD5E06" w:rsidRPr="00DD5E06">
        <w:t>The research involved two testing phases: outer model testing and subsequent inner model testing. The outer model test assessed the validity and reliability of the study's data. Convergent validity was evaluated using the Average Variance Extracted (AVE) value, outer loading values, or a combination of both. Once all variables and indicators satisfied the minimum test requirements, the inner model was tested. The inner model test examined the relationships among latent variables</w:t>
      </w:r>
      <w:r w:rsidR="005F4414" w:rsidRPr="005F4414">
        <w:t>. Hypothesis testing involves testing the P-value, T-statistic, and original sample</w:t>
      </w:r>
      <w:r w:rsidR="00181C3E">
        <w:t xml:space="preserve">. </w:t>
      </w:r>
      <w:r w:rsidR="00181C3E" w:rsidRPr="00181C3E">
        <w:t>Next, a model fit test (Goodness of Fit) is carried out, which is a series of statistical tests used to evaluate how well the proposed statistical model fits the observation data</w:t>
      </w:r>
      <w:r w:rsidR="00181C3E">
        <w:t xml:space="preserve">. </w:t>
      </w:r>
      <w:r w:rsidR="00181C3E" w:rsidRPr="00181C3E">
        <w:t>The model fit test uses the Standardized Root Mean Square Residual (SRMR) value. SRMR is a tool to measure model fit (model suitability), the d_ULS and d_G values with Goodness Of Fit criteria, to validate the overall model, Goodness of fit is used for evaluating measurement models and structural models, simple measurements for model prediction and the Normed Fit Index (NFI) value. The SRMR value accepted as a fit model is with a value &lt;0.1, the Exact fit criteria d_ULS and d_G values &lt;95%. and NFI values close to 1 indicate good model suitability</w:t>
      </w:r>
      <w:r w:rsidR="00181C3E">
        <w:t xml:space="preserve"> </w:t>
      </w:r>
      <w:r w:rsidR="00181C3E">
        <w:rPr>
          <w:szCs w:val="22"/>
        </w:rPr>
        <w:fldChar w:fldCharType="begin" w:fldLock="1"/>
      </w:r>
      <w:r w:rsidR="00400570">
        <w:rPr>
          <w:szCs w:val="22"/>
        </w:rPr>
        <w:instrText>ADDIN CSL_CITATION {"citationItems":[{"id":"ITEM-1","itemData":{"author":[{"dropping-particle":"","family":"Worthington","given":"Roger L.","non-dropping-particle":"","parse-names":false,"suffix":""},{"dropping-particle":"","family":"Whittaker","given":"Tiffany A.","non-dropping-particle":"","parse-names":false,"suffix":""}],"container-title":"The Counseling Psychologist,","id":"ITEM-1","issue":"6","issued":{"date-parts":[["2006"]]},"page":"806-838","title":"Scale Development Research A Content Analysis and Recommendations for Best Practices","type":"article-journal","volume":"34"},"uris":["http://www.mendeley.com/documents/?uuid=df684c9f-aedc-4df7-bdc8-8381b5ca4ce3"]}],"mendeley":{"formattedCitation":"(26)","plainTextFormattedCitation":"(26)","previouslyFormattedCitation":"(26)"},"properties":{"noteIndex":0},"schema":"https://github.com/citation-style-language/schema/raw/master/csl-citation.json"}</w:instrText>
      </w:r>
      <w:r w:rsidR="00181C3E">
        <w:rPr>
          <w:szCs w:val="22"/>
        </w:rPr>
        <w:fldChar w:fldCharType="separate"/>
      </w:r>
      <w:r w:rsidR="00486BC6" w:rsidRPr="00486BC6">
        <w:rPr>
          <w:noProof/>
          <w:szCs w:val="22"/>
        </w:rPr>
        <w:t>(26)</w:t>
      </w:r>
      <w:r w:rsidR="00181C3E">
        <w:rPr>
          <w:szCs w:val="22"/>
        </w:rPr>
        <w:fldChar w:fldCharType="end"/>
      </w:r>
      <w:r w:rsidR="00181C3E" w:rsidRPr="00181C3E">
        <w:t>.</w:t>
      </w:r>
    </w:p>
    <w:p w14:paraId="6D20E911" w14:textId="77777777" w:rsidR="008D5CC6" w:rsidRDefault="008D5CC6" w:rsidP="004D0D85">
      <w:pPr>
        <w:jc w:val="both"/>
      </w:pPr>
    </w:p>
    <w:p w14:paraId="229A19ED" w14:textId="00F10D8F" w:rsidR="008D5CC6" w:rsidRPr="00F54AA5" w:rsidRDefault="00F54AA5" w:rsidP="004A714D">
      <w:pPr>
        <w:pStyle w:val="Heading1"/>
      </w:pPr>
      <w:r w:rsidRPr="00F54AA5">
        <w:t>Findings</w:t>
      </w:r>
    </w:p>
    <w:p w14:paraId="4CB3F51C" w14:textId="266F0EA2" w:rsidR="006E4177" w:rsidRDefault="006E4177" w:rsidP="004D0D85">
      <w:pPr>
        <w:jc w:val="both"/>
        <w:rPr>
          <w:rFonts w:cs="Times New Roman"/>
          <w:color w:val="000000"/>
        </w:rPr>
      </w:pPr>
      <w:r w:rsidRPr="006E4177">
        <w:rPr>
          <w:rFonts w:cs="Times New Roman"/>
          <w:color w:val="000000"/>
        </w:rPr>
        <w:t>The results of data analysis were conducted on 224 respondents. The distribution of respondents based on gender was 133 (</w:t>
      </w:r>
      <w:r w:rsidR="0030172F">
        <w:rPr>
          <w:rFonts w:cs="Times New Roman"/>
          <w:color w:val="000000"/>
        </w:rPr>
        <w:t>59,38</w:t>
      </w:r>
      <w:r w:rsidRPr="006E4177">
        <w:rPr>
          <w:rFonts w:cs="Times New Roman"/>
          <w:color w:val="000000"/>
        </w:rPr>
        <w:t>%) female respondents, 91 (</w:t>
      </w:r>
      <w:r w:rsidR="0030172F">
        <w:rPr>
          <w:rFonts w:cs="Times New Roman"/>
          <w:color w:val="000000"/>
        </w:rPr>
        <w:t>40,62</w:t>
      </w:r>
      <w:r w:rsidRPr="006E4177">
        <w:rPr>
          <w:rFonts w:cs="Times New Roman"/>
          <w:color w:val="000000"/>
        </w:rPr>
        <w:t>%) male respondents</w:t>
      </w:r>
      <w:r>
        <w:rPr>
          <w:rFonts w:cs="Times New Roman"/>
          <w:color w:val="000000"/>
        </w:rPr>
        <w:t>.</w:t>
      </w:r>
    </w:p>
    <w:p w14:paraId="6DEF1883" w14:textId="77777777" w:rsidR="009F50FD" w:rsidRPr="006E4177" w:rsidRDefault="009F50FD" w:rsidP="004D0D85">
      <w:pPr>
        <w:jc w:val="both"/>
        <w:rPr>
          <w:rFonts w:cs="Times New Roman"/>
          <w:color w:val="000000"/>
        </w:rPr>
      </w:pPr>
    </w:p>
    <w:p w14:paraId="5B86C8D3" w14:textId="71D30249" w:rsidR="00F54AA5" w:rsidRDefault="005728AA" w:rsidP="004D0D85">
      <w:pPr>
        <w:jc w:val="both"/>
        <w:rPr>
          <w:rFonts w:cs="Times New Roman"/>
          <w:b/>
          <w:color w:val="000000"/>
        </w:rPr>
      </w:pPr>
      <w:r w:rsidRPr="0019083D">
        <w:rPr>
          <w:rFonts w:cs="Times New Roman"/>
          <w:b/>
          <w:color w:val="000000"/>
        </w:rPr>
        <w:t>Outer Model</w:t>
      </w:r>
    </w:p>
    <w:p w14:paraId="470BA1E1" w14:textId="4282B177" w:rsidR="005728AA" w:rsidRDefault="005728AA" w:rsidP="004D0D85">
      <w:pPr>
        <w:jc w:val="both"/>
        <w:rPr>
          <w:b/>
          <w:i/>
        </w:rPr>
      </w:pPr>
      <w:r w:rsidRPr="005728AA">
        <w:rPr>
          <w:b/>
          <w:i/>
        </w:rPr>
        <w:t>Validity Test</w:t>
      </w:r>
    </w:p>
    <w:p w14:paraId="2ADF08A9" w14:textId="467285CB" w:rsidR="005728AA" w:rsidRDefault="00973840" w:rsidP="004D0D85">
      <w:pPr>
        <w:jc w:val="both"/>
      </w:pPr>
      <w:r w:rsidRPr="00973840">
        <w:t>The validity test results are presented in the following figure:</w:t>
      </w:r>
    </w:p>
    <w:p w14:paraId="31659EB3" w14:textId="6826F5A4" w:rsidR="001840C9" w:rsidRDefault="001840C9" w:rsidP="004D0D85">
      <w:pPr>
        <w:jc w:val="both"/>
      </w:pPr>
      <w:r w:rsidRPr="003E79A9">
        <w:rPr>
          <w:rFonts w:eastAsia="Times New Roman" w:cs="Times New Roman"/>
          <w:noProof/>
        </w:rPr>
        <w:drawing>
          <wp:inline distT="0" distB="0" distL="0" distR="0" wp14:anchorId="39AA70E4" wp14:editId="3FD74F21">
            <wp:extent cx="5394960" cy="331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i Digital Outher Loading.png"/>
                    <pic:cNvPicPr/>
                  </pic:nvPicPr>
                  <pic:blipFill rotWithShape="1">
                    <a:blip r:embed="rId6">
                      <a:extLst>
                        <a:ext uri="{BEBA8EAE-BF5A-486C-A8C5-ECC9F3942E4B}">
                          <a14:imgProps xmlns:a14="http://schemas.microsoft.com/office/drawing/2010/main">
                            <a14:imgLayer r:embed="rId7">
                              <a14:imgEffect>
                                <a14:colorTemperature colorTemp="7200"/>
                              </a14:imgEffect>
                              <a14:imgEffect>
                                <a14:saturation sat="200000"/>
                              </a14:imgEffect>
                            </a14:imgLayer>
                          </a14:imgProps>
                        </a:ext>
                        <a:ext uri="{28A0092B-C50C-407E-A947-70E740481C1C}">
                          <a14:useLocalDpi xmlns:a14="http://schemas.microsoft.com/office/drawing/2010/main" val="0"/>
                        </a:ext>
                      </a:extLst>
                    </a:blip>
                    <a:srcRect l="3663"/>
                    <a:stretch/>
                  </pic:blipFill>
                  <pic:spPr bwMode="auto">
                    <a:xfrm>
                      <a:off x="0" y="0"/>
                      <a:ext cx="5396230" cy="3318656"/>
                    </a:xfrm>
                    <a:prstGeom prst="rect">
                      <a:avLst/>
                    </a:prstGeom>
                    <a:ln>
                      <a:noFill/>
                    </a:ln>
                    <a:extLst>
                      <a:ext uri="{53640926-AAD7-44d8-BBD7-CCE9431645EC}">
                        <a14:shadowObscured xmlns:a14="http://schemas.microsoft.com/office/drawing/2010/main"/>
                      </a:ext>
                    </a:extLst>
                  </pic:spPr>
                </pic:pic>
              </a:graphicData>
            </a:graphic>
          </wp:inline>
        </w:drawing>
      </w:r>
    </w:p>
    <w:p w14:paraId="6D100DEB" w14:textId="1BF2D501" w:rsidR="00B27CB8" w:rsidRDefault="001840C9" w:rsidP="001840C9">
      <w:pPr>
        <w:jc w:val="center"/>
      </w:pPr>
      <w:r w:rsidRPr="001840C9">
        <w:rPr>
          <w:b/>
        </w:rPr>
        <w:t>Figure 2.</w:t>
      </w:r>
      <w:r w:rsidRPr="001840C9">
        <w:t xml:space="preserve"> Outer Loading Indicator Value</w:t>
      </w:r>
    </w:p>
    <w:p w14:paraId="088C4CD5" w14:textId="77777777" w:rsidR="009F50FD" w:rsidRDefault="009F50FD" w:rsidP="001840C9">
      <w:pPr>
        <w:jc w:val="center"/>
      </w:pPr>
    </w:p>
    <w:p w14:paraId="1094D6DC" w14:textId="6E870334" w:rsidR="001840C9" w:rsidRDefault="006B707D" w:rsidP="004D0D85">
      <w:pPr>
        <w:jc w:val="both"/>
      </w:pPr>
      <w:r w:rsidRPr="006B707D">
        <w:t xml:space="preserve">The image </w:t>
      </w:r>
      <w:r w:rsidR="00466DDB" w:rsidRPr="00466DDB">
        <w:t>above illustrates how each indicator's outer loading value was determined based on data analysis. Since every indicator's outer loading value was higher than 0.7, they were all deemed legitimate</w:t>
      </w:r>
      <w:r w:rsidRPr="006B707D">
        <w:t>.</w:t>
      </w:r>
    </w:p>
    <w:p w14:paraId="096C48F2" w14:textId="77777777" w:rsidR="009F50FD" w:rsidRDefault="009F50FD" w:rsidP="004D0D85">
      <w:pPr>
        <w:jc w:val="both"/>
      </w:pPr>
    </w:p>
    <w:p w14:paraId="4F6A1E41" w14:textId="6D3A4C73" w:rsidR="006B707D" w:rsidRPr="006B707D" w:rsidRDefault="006B707D" w:rsidP="004D0D85">
      <w:pPr>
        <w:jc w:val="both"/>
        <w:rPr>
          <w:b/>
        </w:rPr>
      </w:pPr>
      <w:r w:rsidRPr="006B707D">
        <w:rPr>
          <w:b/>
        </w:rPr>
        <w:t>Reliability Test</w:t>
      </w:r>
    </w:p>
    <w:p w14:paraId="7093C41F" w14:textId="2054EA93" w:rsidR="006B707D" w:rsidRDefault="006B707D" w:rsidP="004D0D85">
      <w:pPr>
        <w:jc w:val="both"/>
      </w:pPr>
      <w:r w:rsidRPr="006B707D">
        <w:t>Next, a reliability test was carried out using Cronbach's alpha and composite reliability values, the results of which are presented in the following table:</w:t>
      </w:r>
    </w:p>
    <w:p w14:paraId="156CACEB" w14:textId="77777777" w:rsidR="00AD5DA7" w:rsidRDefault="00AD5DA7" w:rsidP="006B707D">
      <w:pPr>
        <w:contextualSpacing/>
        <w:jc w:val="center"/>
        <w:rPr>
          <w:rFonts w:cs="Arial"/>
          <w:b/>
          <w:i/>
        </w:rPr>
      </w:pPr>
    </w:p>
    <w:p w14:paraId="3A0831AB" w14:textId="462D7877" w:rsidR="006B707D" w:rsidRPr="003E79A9" w:rsidRDefault="006B707D" w:rsidP="006B707D">
      <w:pPr>
        <w:contextualSpacing/>
        <w:jc w:val="center"/>
        <w:rPr>
          <w:rFonts w:cs="Arial"/>
          <w:i/>
        </w:rPr>
      </w:pPr>
      <w:r>
        <w:rPr>
          <w:rFonts w:cs="Arial"/>
          <w:b/>
          <w:i/>
        </w:rPr>
        <w:t>Table</w:t>
      </w:r>
      <w:r w:rsidRPr="003E79A9">
        <w:rPr>
          <w:rFonts w:cs="Arial"/>
          <w:b/>
          <w:i/>
        </w:rPr>
        <w:t xml:space="preserve"> 1. </w:t>
      </w:r>
      <w:r w:rsidRPr="006B707D">
        <w:rPr>
          <w:rFonts w:cs="Arial"/>
          <w:i/>
        </w:rPr>
        <w:t>Reliability Test Results with Cronbach's Alpha and Composite Reliability Values</w:t>
      </w:r>
    </w:p>
    <w:tbl>
      <w:tblPr>
        <w:tblW w:w="9326" w:type="dxa"/>
        <w:jc w:val="center"/>
        <w:tblInd w:w="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83"/>
        <w:gridCol w:w="1701"/>
        <w:gridCol w:w="806"/>
        <w:gridCol w:w="1417"/>
        <w:gridCol w:w="1559"/>
        <w:gridCol w:w="1560"/>
      </w:tblGrid>
      <w:tr w:rsidR="006B707D" w:rsidRPr="003E79A9" w14:paraId="18379FB2" w14:textId="77777777" w:rsidTr="002C418C">
        <w:trPr>
          <w:trHeight w:val="840"/>
          <w:jc w:val="center"/>
        </w:trPr>
        <w:tc>
          <w:tcPr>
            <w:tcW w:w="2283" w:type="dxa"/>
            <w:shd w:val="clear" w:color="auto" w:fill="auto"/>
            <w:vAlign w:val="center"/>
            <w:hideMark/>
          </w:tcPr>
          <w:p w14:paraId="67664B87" w14:textId="0712DDD1" w:rsidR="006B707D" w:rsidRPr="003E79A9" w:rsidRDefault="00B36C36" w:rsidP="002C418C">
            <w:pPr>
              <w:jc w:val="center"/>
              <w:rPr>
                <w:rFonts w:eastAsia="Times New Roman" w:cs="Times New Roman"/>
                <w:b/>
                <w:bCs/>
                <w:color w:val="000000"/>
              </w:rPr>
            </w:pPr>
            <w:r>
              <w:rPr>
                <w:rFonts w:eastAsia="Times New Roman" w:cs="Times New Roman"/>
                <w:b/>
                <w:bCs/>
                <w:color w:val="000000"/>
              </w:rPr>
              <w:t>Variables</w:t>
            </w:r>
          </w:p>
        </w:tc>
        <w:tc>
          <w:tcPr>
            <w:tcW w:w="1701" w:type="dxa"/>
            <w:shd w:val="clear" w:color="auto" w:fill="auto"/>
            <w:vAlign w:val="center"/>
            <w:hideMark/>
          </w:tcPr>
          <w:p w14:paraId="5A6C7526" w14:textId="638B17A9" w:rsidR="006B707D" w:rsidRPr="003E79A9" w:rsidRDefault="006B707D" w:rsidP="00B36C36">
            <w:pPr>
              <w:jc w:val="center"/>
              <w:rPr>
                <w:rFonts w:eastAsia="Times New Roman" w:cs="Times New Roman"/>
                <w:b/>
                <w:bCs/>
                <w:color w:val="000000"/>
              </w:rPr>
            </w:pPr>
            <w:r w:rsidRPr="003E79A9">
              <w:rPr>
                <w:rFonts w:eastAsia="Times New Roman" w:cs="Times New Roman"/>
                <w:b/>
                <w:bCs/>
                <w:color w:val="000000"/>
              </w:rPr>
              <w:t xml:space="preserve">Cronbach's </w:t>
            </w:r>
            <w:r w:rsidR="00B36C36">
              <w:rPr>
                <w:rFonts w:eastAsia="Times New Roman" w:cs="Times New Roman"/>
                <w:b/>
                <w:bCs/>
                <w:color w:val="000000"/>
              </w:rPr>
              <w:t>a</w:t>
            </w:r>
            <w:r w:rsidRPr="003E79A9">
              <w:rPr>
                <w:rFonts w:eastAsia="Times New Roman" w:cs="Times New Roman"/>
                <w:b/>
                <w:bCs/>
                <w:color w:val="000000"/>
              </w:rPr>
              <w:t>lpha</w:t>
            </w:r>
          </w:p>
        </w:tc>
        <w:tc>
          <w:tcPr>
            <w:tcW w:w="806" w:type="dxa"/>
            <w:shd w:val="clear" w:color="auto" w:fill="auto"/>
            <w:vAlign w:val="center"/>
            <w:hideMark/>
          </w:tcPr>
          <w:p w14:paraId="0DD71D5B" w14:textId="77777777" w:rsidR="006B707D" w:rsidRPr="003E79A9" w:rsidRDefault="006B707D" w:rsidP="002C418C">
            <w:pPr>
              <w:jc w:val="center"/>
              <w:rPr>
                <w:rFonts w:eastAsia="Times New Roman" w:cs="Times New Roman"/>
                <w:b/>
                <w:bCs/>
                <w:color w:val="000000"/>
              </w:rPr>
            </w:pPr>
            <w:r w:rsidRPr="003E79A9">
              <w:rPr>
                <w:rFonts w:eastAsia="Times New Roman" w:cs="Times New Roman"/>
                <w:b/>
                <w:bCs/>
                <w:color w:val="000000"/>
              </w:rPr>
              <w:t>rho_A</w:t>
            </w:r>
          </w:p>
        </w:tc>
        <w:tc>
          <w:tcPr>
            <w:tcW w:w="1417" w:type="dxa"/>
            <w:shd w:val="clear" w:color="auto" w:fill="auto"/>
            <w:vAlign w:val="center"/>
            <w:hideMark/>
          </w:tcPr>
          <w:p w14:paraId="108DEAC7" w14:textId="28EB3CC2" w:rsidR="006B707D" w:rsidRPr="003E79A9" w:rsidRDefault="00B36C36" w:rsidP="002C418C">
            <w:pPr>
              <w:jc w:val="center"/>
              <w:rPr>
                <w:rFonts w:eastAsia="Times New Roman" w:cs="Times New Roman"/>
                <w:b/>
                <w:bCs/>
                <w:color w:val="000000"/>
              </w:rPr>
            </w:pPr>
            <w:r>
              <w:rPr>
                <w:rFonts w:eastAsia="Times New Roman" w:cs="Times New Roman"/>
                <w:b/>
                <w:bCs/>
                <w:color w:val="000000"/>
              </w:rPr>
              <w:t>Composite r</w:t>
            </w:r>
            <w:r w:rsidR="006B707D" w:rsidRPr="003E79A9">
              <w:rPr>
                <w:rFonts w:eastAsia="Times New Roman" w:cs="Times New Roman"/>
                <w:b/>
                <w:bCs/>
                <w:color w:val="000000"/>
              </w:rPr>
              <w:t>eliability</w:t>
            </w:r>
          </w:p>
        </w:tc>
        <w:tc>
          <w:tcPr>
            <w:tcW w:w="1559" w:type="dxa"/>
            <w:shd w:val="clear" w:color="auto" w:fill="auto"/>
            <w:vAlign w:val="center"/>
            <w:hideMark/>
          </w:tcPr>
          <w:p w14:paraId="2F74890B" w14:textId="77777777" w:rsidR="006B707D" w:rsidRPr="003E79A9" w:rsidRDefault="006B707D" w:rsidP="002C418C">
            <w:pPr>
              <w:jc w:val="center"/>
              <w:rPr>
                <w:rFonts w:eastAsia="Times New Roman" w:cs="Times New Roman"/>
                <w:b/>
                <w:bCs/>
                <w:color w:val="000000"/>
              </w:rPr>
            </w:pPr>
            <w:r w:rsidRPr="003E79A9">
              <w:rPr>
                <w:rFonts w:eastAsia="Times New Roman" w:cs="Times New Roman"/>
                <w:b/>
                <w:bCs/>
                <w:color w:val="000000"/>
              </w:rPr>
              <w:t>Average Variance Extracted (AVE)</w:t>
            </w:r>
          </w:p>
        </w:tc>
        <w:tc>
          <w:tcPr>
            <w:tcW w:w="1560" w:type="dxa"/>
            <w:shd w:val="clear" w:color="auto" w:fill="auto"/>
            <w:vAlign w:val="center"/>
            <w:hideMark/>
          </w:tcPr>
          <w:p w14:paraId="24BA400B" w14:textId="26B9947A" w:rsidR="006B707D" w:rsidRPr="003E79A9" w:rsidRDefault="00B36C36" w:rsidP="002C418C">
            <w:pPr>
              <w:jc w:val="center"/>
              <w:rPr>
                <w:rFonts w:eastAsia="Times New Roman" w:cs="Times New Roman"/>
                <w:b/>
                <w:bCs/>
                <w:color w:val="000000"/>
              </w:rPr>
            </w:pPr>
            <w:r w:rsidRPr="00B36C36">
              <w:rPr>
                <w:rFonts w:eastAsia="Times New Roman" w:cs="Times New Roman"/>
                <w:b/>
                <w:bCs/>
                <w:color w:val="000000"/>
              </w:rPr>
              <w:t>Information</w:t>
            </w:r>
          </w:p>
        </w:tc>
      </w:tr>
      <w:tr w:rsidR="006B707D" w:rsidRPr="003E79A9" w14:paraId="4EFDFFBB" w14:textId="77777777" w:rsidTr="002C418C">
        <w:trPr>
          <w:trHeight w:val="280"/>
          <w:jc w:val="center"/>
        </w:trPr>
        <w:tc>
          <w:tcPr>
            <w:tcW w:w="2283" w:type="dxa"/>
            <w:shd w:val="clear" w:color="auto" w:fill="auto"/>
            <w:vAlign w:val="center"/>
            <w:hideMark/>
          </w:tcPr>
          <w:p w14:paraId="28F61DE6" w14:textId="77777777" w:rsidR="006B707D" w:rsidRPr="003E79A9" w:rsidRDefault="006B707D" w:rsidP="002C418C">
            <w:pPr>
              <w:rPr>
                <w:rFonts w:eastAsia="Times New Roman" w:cs="Times New Roman"/>
                <w:color w:val="000000"/>
              </w:rPr>
            </w:pPr>
            <w:r w:rsidRPr="003E79A9">
              <w:rPr>
                <w:rFonts w:eastAsia="Times New Roman" w:cs="Times New Roman"/>
                <w:color w:val="000000"/>
              </w:rPr>
              <w:t>Digital Infrastructure (Z2)</w:t>
            </w:r>
          </w:p>
        </w:tc>
        <w:tc>
          <w:tcPr>
            <w:tcW w:w="1701" w:type="dxa"/>
            <w:shd w:val="clear" w:color="auto" w:fill="auto"/>
            <w:vAlign w:val="center"/>
            <w:hideMark/>
          </w:tcPr>
          <w:p w14:paraId="04E5B6CF"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0.934</w:t>
            </w:r>
          </w:p>
        </w:tc>
        <w:tc>
          <w:tcPr>
            <w:tcW w:w="806" w:type="dxa"/>
            <w:shd w:val="clear" w:color="auto" w:fill="auto"/>
            <w:vAlign w:val="center"/>
            <w:hideMark/>
          </w:tcPr>
          <w:p w14:paraId="7BA2C3CA"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0.935</w:t>
            </w:r>
          </w:p>
        </w:tc>
        <w:tc>
          <w:tcPr>
            <w:tcW w:w="1417" w:type="dxa"/>
            <w:shd w:val="clear" w:color="auto" w:fill="auto"/>
            <w:vAlign w:val="center"/>
            <w:hideMark/>
          </w:tcPr>
          <w:p w14:paraId="2E3E1D1C"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0.958</w:t>
            </w:r>
          </w:p>
        </w:tc>
        <w:tc>
          <w:tcPr>
            <w:tcW w:w="1559" w:type="dxa"/>
            <w:shd w:val="clear" w:color="auto" w:fill="auto"/>
            <w:vAlign w:val="center"/>
            <w:hideMark/>
          </w:tcPr>
          <w:p w14:paraId="1FEF9769"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0.883</w:t>
            </w:r>
          </w:p>
        </w:tc>
        <w:tc>
          <w:tcPr>
            <w:tcW w:w="1560" w:type="dxa"/>
            <w:shd w:val="clear" w:color="auto" w:fill="auto"/>
            <w:vAlign w:val="center"/>
            <w:hideMark/>
          </w:tcPr>
          <w:p w14:paraId="459061A0" w14:textId="77777777" w:rsidR="006B707D" w:rsidRPr="003E79A9" w:rsidRDefault="006B707D" w:rsidP="002C418C">
            <w:pPr>
              <w:jc w:val="center"/>
              <w:rPr>
                <w:rFonts w:eastAsia="Times New Roman" w:cs="Times New Roman"/>
                <w:color w:val="000000"/>
              </w:rPr>
            </w:pPr>
            <w:r>
              <w:rPr>
                <w:rFonts w:eastAsia="Times New Roman" w:cs="Times New Roman"/>
                <w:color w:val="000000"/>
              </w:rPr>
              <w:t>Reliable</w:t>
            </w:r>
          </w:p>
        </w:tc>
      </w:tr>
      <w:tr w:rsidR="006B707D" w:rsidRPr="003E79A9" w14:paraId="2B973129" w14:textId="77777777" w:rsidTr="002C418C">
        <w:trPr>
          <w:trHeight w:val="280"/>
          <w:jc w:val="center"/>
        </w:trPr>
        <w:tc>
          <w:tcPr>
            <w:tcW w:w="2283" w:type="dxa"/>
            <w:shd w:val="clear" w:color="auto" w:fill="auto"/>
            <w:vAlign w:val="center"/>
            <w:hideMark/>
          </w:tcPr>
          <w:p w14:paraId="01488327" w14:textId="77777777" w:rsidR="006B707D" w:rsidRPr="003E79A9" w:rsidRDefault="006B707D" w:rsidP="002C418C">
            <w:pPr>
              <w:rPr>
                <w:rFonts w:eastAsia="Times New Roman" w:cs="Times New Roman"/>
                <w:color w:val="000000"/>
              </w:rPr>
            </w:pPr>
            <w:r w:rsidRPr="003E79A9">
              <w:rPr>
                <w:rFonts w:eastAsia="Times New Roman" w:cs="Times New Roman"/>
                <w:color w:val="000000"/>
              </w:rPr>
              <w:t>Digital Literacy (X)</w:t>
            </w:r>
          </w:p>
        </w:tc>
        <w:tc>
          <w:tcPr>
            <w:tcW w:w="1701" w:type="dxa"/>
            <w:shd w:val="clear" w:color="auto" w:fill="auto"/>
            <w:vAlign w:val="center"/>
            <w:hideMark/>
          </w:tcPr>
          <w:p w14:paraId="55DC16F4"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0.938</w:t>
            </w:r>
          </w:p>
        </w:tc>
        <w:tc>
          <w:tcPr>
            <w:tcW w:w="806" w:type="dxa"/>
            <w:shd w:val="clear" w:color="auto" w:fill="auto"/>
            <w:vAlign w:val="center"/>
            <w:hideMark/>
          </w:tcPr>
          <w:p w14:paraId="776979C9"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0.940</w:t>
            </w:r>
          </w:p>
        </w:tc>
        <w:tc>
          <w:tcPr>
            <w:tcW w:w="1417" w:type="dxa"/>
            <w:shd w:val="clear" w:color="auto" w:fill="auto"/>
            <w:vAlign w:val="center"/>
            <w:hideMark/>
          </w:tcPr>
          <w:p w14:paraId="247215F2"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0.955</w:t>
            </w:r>
          </w:p>
        </w:tc>
        <w:tc>
          <w:tcPr>
            <w:tcW w:w="1559" w:type="dxa"/>
            <w:shd w:val="clear" w:color="auto" w:fill="auto"/>
            <w:vAlign w:val="center"/>
            <w:hideMark/>
          </w:tcPr>
          <w:p w14:paraId="47C0BD8E"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0.843</w:t>
            </w:r>
          </w:p>
        </w:tc>
        <w:tc>
          <w:tcPr>
            <w:tcW w:w="1560" w:type="dxa"/>
            <w:shd w:val="clear" w:color="auto" w:fill="auto"/>
            <w:vAlign w:val="center"/>
            <w:hideMark/>
          </w:tcPr>
          <w:p w14:paraId="4834C5DB" w14:textId="77777777" w:rsidR="006B707D" w:rsidRPr="003E79A9" w:rsidRDefault="006B707D" w:rsidP="002C418C">
            <w:pPr>
              <w:jc w:val="center"/>
              <w:rPr>
                <w:rFonts w:eastAsia="Times New Roman" w:cs="Times New Roman"/>
                <w:color w:val="000000"/>
              </w:rPr>
            </w:pPr>
            <w:r>
              <w:rPr>
                <w:rFonts w:eastAsia="Times New Roman" w:cs="Times New Roman"/>
                <w:color w:val="000000"/>
              </w:rPr>
              <w:t>Reliable</w:t>
            </w:r>
          </w:p>
        </w:tc>
      </w:tr>
      <w:tr w:rsidR="006B707D" w:rsidRPr="003E79A9" w14:paraId="15159312" w14:textId="77777777" w:rsidTr="002C418C">
        <w:trPr>
          <w:trHeight w:val="280"/>
          <w:jc w:val="center"/>
        </w:trPr>
        <w:tc>
          <w:tcPr>
            <w:tcW w:w="2283" w:type="dxa"/>
            <w:shd w:val="clear" w:color="auto" w:fill="auto"/>
            <w:vAlign w:val="center"/>
            <w:hideMark/>
          </w:tcPr>
          <w:p w14:paraId="6245BA20" w14:textId="77777777" w:rsidR="006B707D" w:rsidRPr="003E79A9" w:rsidRDefault="006B707D" w:rsidP="002C418C">
            <w:pPr>
              <w:rPr>
                <w:rFonts w:eastAsia="Times New Roman" w:cs="Times New Roman"/>
                <w:color w:val="000000"/>
              </w:rPr>
            </w:pPr>
            <w:r w:rsidRPr="003E79A9">
              <w:rPr>
                <w:rFonts w:eastAsia="Times New Roman" w:cs="Times New Roman"/>
                <w:color w:val="000000"/>
              </w:rPr>
              <w:t>Health Center Policy (Z1)</w:t>
            </w:r>
          </w:p>
        </w:tc>
        <w:tc>
          <w:tcPr>
            <w:tcW w:w="1701" w:type="dxa"/>
            <w:shd w:val="clear" w:color="auto" w:fill="auto"/>
            <w:vAlign w:val="center"/>
            <w:hideMark/>
          </w:tcPr>
          <w:p w14:paraId="28023B5D"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0.870</w:t>
            </w:r>
          </w:p>
        </w:tc>
        <w:tc>
          <w:tcPr>
            <w:tcW w:w="806" w:type="dxa"/>
            <w:shd w:val="clear" w:color="auto" w:fill="auto"/>
            <w:vAlign w:val="center"/>
            <w:hideMark/>
          </w:tcPr>
          <w:p w14:paraId="78AC1B2D"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0.878</w:t>
            </w:r>
          </w:p>
        </w:tc>
        <w:tc>
          <w:tcPr>
            <w:tcW w:w="1417" w:type="dxa"/>
            <w:shd w:val="clear" w:color="auto" w:fill="auto"/>
            <w:vAlign w:val="center"/>
            <w:hideMark/>
          </w:tcPr>
          <w:p w14:paraId="7D9B769E"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0.920</w:t>
            </w:r>
          </w:p>
        </w:tc>
        <w:tc>
          <w:tcPr>
            <w:tcW w:w="1559" w:type="dxa"/>
            <w:shd w:val="clear" w:color="auto" w:fill="auto"/>
            <w:vAlign w:val="center"/>
            <w:hideMark/>
          </w:tcPr>
          <w:p w14:paraId="5022938B"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0.793</w:t>
            </w:r>
          </w:p>
        </w:tc>
        <w:tc>
          <w:tcPr>
            <w:tcW w:w="1560" w:type="dxa"/>
            <w:shd w:val="clear" w:color="auto" w:fill="auto"/>
            <w:vAlign w:val="center"/>
            <w:hideMark/>
          </w:tcPr>
          <w:p w14:paraId="598316FB" w14:textId="77777777" w:rsidR="006B707D" w:rsidRPr="003E79A9" w:rsidRDefault="006B707D" w:rsidP="002C418C">
            <w:pPr>
              <w:jc w:val="center"/>
              <w:rPr>
                <w:rFonts w:eastAsia="Times New Roman" w:cs="Times New Roman"/>
                <w:color w:val="000000"/>
              </w:rPr>
            </w:pPr>
            <w:r>
              <w:rPr>
                <w:rFonts w:eastAsia="Times New Roman" w:cs="Times New Roman"/>
                <w:color w:val="000000"/>
              </w:rPr>
              <w:t>Reliable</w:t>
            </w:r>
          </w:p>
        </w:tc>
      </w:tr>
      <w:tr w:rsidR="006B707D" w:rsidRPr="003E79A9" w14:paraId="4D9F2DCD" w14:textId="77777777" w:rsidTr="002C418C">
        <w:trPr>
          <w:trHeight w:val="280"/>
          <w:jc w:val="center"/>
        </w:trPr>
        <w:tc>
          <w:tcPr>
            <w:tcW w:w="2283" w:type="dxa"/>
            <w:shd w:val="clear" w:color="auto" w:fill="auto"/>
            <w:vAlign w:val="center"/>
            <w:hideMark/>
          </w:tcPr>
          <w:p w14:paraId="77B7E4FD" w14:textId="77777777" w:rsidR="006B707D" w:rsidRPr="003E79A9" w:rsidRDefault="006B707D" w:rsidP="002C418C">
            <w:pPr>
              <w:rPr>
                <w:rFonts w:eastAsia="Times New Roman" w:cs="Times New Roman"/>
                <w:color w:val="000000"/>
              </w:rPr>
            </w:pPr>
            <w:r w:rsidRPr="003E79A9">
              <w:rPr>
                <w:rFonts w:eastAsia="Times New Roman" w:cs="Times New Roman"/>
                <w:color w:val="000000"/>
              </w:rPr>
              <w:t>Health Service Effectiveness (Y)</w:t>
            </w:r>
          </w:p>
        </w:tc>
        <w:tc>
          <w:tcPr>
            <w:tcW w:w="1701" w:type="dxa"/>
            <w:shd w:val="clear" w:color="auto" w:fill="auto"/>
            <w:vAlign w:val="center"/>
            <w:hideMark/>
          </w:tcPr>
          <w:p w14:paraId="64D8BABD"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0.950</w:t>
            </w:r>
          </w:p>
        </w:tc>
        <w:tc>
          <w:tcPr>
            <w:tcW w:w="806" w:type="dxa"/>
            <w:shd w:val="clear" w:color="auto" w:fill="auto"/>
            <w:vAlign w:val="center"/>
            <w:hideMark/>
          </w:tcPr>
          <w:p w14:paraId="6980D62D"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0.951</w:t>
            </w:r>
          </w:p>
        </w:tc>
        <w:tc>
          <w:tcPr>
            <w:tcW w:w="1417" w:type="dxa"/>
            <w:shd w:val="clear" w:color="auto" w:fill="auto"/>
            <w:vAlign w:val="center"/>
            <w:hideMark/>
          </w:tcPr>
          <w:p w14:paraId="0EA55D4F"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0.964</w:t>
            </w:r>
          </w:p>
        </w:tc>
        <w:tc>
          <w:tcPr>
            <w:tcW w:w="1559" w:type="dxa"/>
            <w:shd w:val="clear" w:color="auto" w:fill="auto"/>
            <w:vAlign w:val="center"/>
            <w:hideMark/>
          </w:tcPr>
          <w:p w14:paraId="78F954D2" w14:textId="77777777" w:rsidR="006B707D" w:rsidRPr="003E79A9" w:rsidRDefault="006B707D" w:rsidP="002C418C">
            <w:pPr>
              <w:jc w:val="center"/>
              <w:rPr>
                <w:rFonts w:eastAsia="Times New Roman" w:cs="Times New Roman"/>
                <w:color w:val="000000"/>
              </w:rPr>
            </w:pPr>
            <w:r w:rsidRPr="003E79A9">
              <w:rPr>
                <w:rFonts w:eastAsia="Times New Roman" w:cs="Times New Roman"/>
                <w:color w:val="000000"/>
              </w:rPr>
              <w:t>0.870</w:t>
            </w:r>
          </w:p>
        </w:tc>
        <w:tc>
          <w:tcPr>
            <w:tcW w:w="1560" w:type="dxa"/>
            <w:shd w:val="clear" w:color="auto" w:fill="auto"/>
            <w:vAlign w:val="center"/>
            <w:hideMark/>
          </w:tcPr>
          <w:p w14:paraId="1037F42D" w14:textId="77777777" w:rsidR="006B707D" w:rsidRPr="003E79A9" w:rsidRDefault="006B707D" w:rsidP="002C418C">
            <w:pPr>
              <w:jc w:val="center"/>
              <w:rPr>
                <w:rFonts w:eastAsia="Times New Roman" w:cs="Times New Roman"/>
                <w:color w:val="000000"/>
              </w:rPr>
            </w:pPr>
            <w:r>
              <w:rPr>
                <w:rFonts w:eastAsia="Times New Roman" w:cs="Times New Roman"/>
                <w:color w:val="000000"/>
              </w:rPr>
              <w:t>Reliable</w:t>
            </w:r>
          </w:p>
        </w:tc>
      </w:tr>
    </w:tbl>
    <w:p w14:paraId="74B7C6C4" w14:textId="616C7E1D" w:rsidR="006B707D" w:rsidRDefault="006B707D" w:rsidP="004D0D85">
      <w:pPr>
        <w:jc w:val="both"/>
      </w:pPr>
      <w:r w:rsidRPr="006B707D">
        <w:t>The table above shows that all dimensions and variables studied have Cronbach's alpha and composite reliability values of more than 0.7, so they are declared reliable.</w:t>
      </w:r>
    </w:p>
    <w:p w14:paraId="1A371CEB" w14:textId="77777777" w:rsidR="009F50FD" w:rsidRDefault="009F50FD" w:rsidP="004D0D85">
      <w:pPr>
        <w:jc w:val="both"/>
      </w:pPr>
    </w:p>
    <w:p w14:paraId="4F5D3544" w14:textId="77777777" w:rsidR="009F50FD" w:rsidRDefault="009F50FD" w:rsidP="004D0D85">
      <w:pPr>
        <w:jc w:val="both"/>
      </w:pPr>
    </w:p>
    <w:p w14:paraId="1790C5D3" w14:textId="64FA4053" w:rsidR="006B707D" w:rsidRDefault="00426E50" w:rsidP="004D0D85">
      <w:pPr>
        <w:jc w:val="both"/>
        <w:rPr>
          <w:b/>
        </w:rPr>
      </w:pPr>
      <w:r w:rsidRPr="00426E50">
        <w:rPr>
          <w:b/>
        </w:rPr>
        <w:t>Inner Model Test</w:t>
      </w:r>
    </w:p>
    <w:p w14:paraId="6F82959A" w14:textId="2AB908ED" w:rsidR="00426E50" w:rsidRDefault="00BA072C" w:rsidP="004D0D85">
      <w:pPr>
        <w:jc w:val="both"/>
      </w:pPr>
      <w:r w:rsidRPr="00BA072C">
        <w:t>The original sample value, T-statistic, and P-value were all tested as part of the hypothesis test in the inner model test. The following table displays the test results</w:t>
      </w:r>
      <w:r w:rsidR="00426E50" w:rsidRPr="00426E50">
        <w:t>:</w:t>
      </w:r>
    </w:p>
    <w:p w14:paraId="05325DC9" w14:textId="77777777" w:rsidR="00AD5DA7" w:rsidRDefault="00AD5DA7" w:rsidP="00426E50">
      <w:pPr>
        <w:contextualSpacing/>
        <w:jc w:val="center"/>
        <w:rPr>
          <w:rFonts w:cs="Arial"/>
          <w:b/>
          <w:i/>
        </w:rPr>
      </w:pPr>
    </w:p>
    <w:p w14:paraId="2086CC36" w14:textId="11A53000" w:rsidR="00426E50" w:rsidRPr="003E79A9" w:rsidRDefault="00426E50" w:rsidP="00426E50">
      <w:pPr>
        <w:contextualSpacing/>
        <w:jc w:val="center"/>
        <w:rPr>
          <w:rFonts w:cs="Arial"/>
          <w:i/>
        </w:rPr>
      </w:pPr>
      <w:r w:rsidRPr="003E79A9">
        <w:rPr>
          <w:rFonts w:cs="Arial"/>
          <w:b/>
          <w:i/>
        </w:rPr>
        <w:t>Tab</w:t>
      </w:r>
      <w:r>
        <w:rPr>
          <w:rFonts w:cs="Arial"/>
          <w:b/>
          <w:i/>
        </w:rPr>
        <w:t>le</w:t>
      </w:r>
      <w:r w:rsidRPr="003E79A9">
        <w:rPr>
          <w:rFonts w:cs="Arial"/>
          <w:b/>
          <w:i/>
        </w:rPr>
        <w:t xml:space="preserve"> 2. </w:t>
      </w:r>
      <w:r w:rsidRPr="003E79A9">
        <w:rPr>
          <w:rFonts w:cs="Arial"/>
          <w:i/>
        </w:rPr>
        <w:t>Original Sample Value, T-Statistic and P-Value</w:t>
      </w:r>
    </w:p>
    <w:tbl>
      <w:tblPr>
        <w:tblW w:w="9214" w:type="dxa"/>
        <w:jc w:val="center"/>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80"/>
        <w:gridCol w:w="1560"/>
        <w:gridCol w:w="1205"/>
        <w:gridCol w:w="1294"/>
        <w:gridCol w:w="1667"/>
        <w:gridCol w:w="1008"/>
      </w:tblGrid>
      <w:tr w:rsidR="00426E50" w:rsidRPr="003E79A9" w14:paraId="4DA1D62F" w14:textId="77777777" w:rsidTr="002C418C">
        <w:trPr>
          <w:trHeight w:val="280"/>
          <w:jc w:val="center"/>
        </w:trPr>
        <w:tc>
          <w:tcPr>
            <w:tcW w:w="2480" w:type="dxa"/>
            <w:shd w:val="clear" w:color="auto" w:fill="auto"/>
            <w:noWrap/>
            <w:vAlign w:val="center"/>
            <w:hideMark/>
          </w:tcPr>
          <w:p w14:paraId="6E550343" w14:textId="4E624603" w:rsidR="00426E50" w:rsidRPr="00F94E42" w:rsidRDefault="00074E89" w:rsidP="002C418C">
            <w:pPr>
              <w:jc w:val="center"/>
              <w:rPr>
                <w:rFonts w:eastAsia="Times New Roman" w:cs="Times New Roman"/>
                <w:b/>
                <w:color w:val="000000"/>
              </w:rPr>
            </w:pPr>
            <w:r w:rsidRPr="00074E89">
              <w:rPr>
                <w:rFonts w:eastAsia="Times New Roman" w:cs="Times New Roman"/>
                <w:b/>
                <w:color w:val="000000"/>
              </w:rPr>
              <w:t>Influence between Variables</w:t>
            </w:r>
          </w:p>
        </w:tc>
        <w:tc>
          <w:tcPr>
            <w:tcW w:w="1560" w:type="dxa"/>
            <w:shd w:val="clear" w:color="auto" w:fill="auto"/>
            <w:noWrap/>
            <w:vAlign w:val="center"/>
            <w:hideMark/>
          </w:tcPr>
          <w:p w14:paraId="4E6B24C3" w14:textId="3C3241FA" w:rsidR="00426E50" w:rsidRPr="00F94E42" w:rsidRDefault="00426E50" w:rsidP="00074E89">
            <w:pPr>
              <w:jc w:val="center"/>
              <w:rPr>
                <w:rFonts w:eastAsia="Times New Roman" w:cs="Times New Roman"/>
                <w:b/>
                <w:color w:val="000000"/>
              </w:rPr>
            </w:pPr>
            <w:r w:rsidRPr="00F94E42">
              <w:rPr>
                <w:rFonts w:eastAsia="Times New Roman" w:cs="Times New Roman"/>
                <w:b/>
                <w:color w:val="000000"/>
              </w:rPr>
              <w:t xml:space="preserve">Original </w:t>
            </w:r>
            <w:r w:rsidR="00074E89">
              <w:rPr>
                <w:rFonts w:eastAsia="Times New Roman" w:cs="Times New Roman"/>
                <w:b/>
                <w:color w:val="000000"/>
              </w:rPr>
              <w:t>s</w:t>
            </w:r>
            <w:r w:rsidRPr="00F94E42">
              <w:rPr>
                <w:rFonts w:eastAsia="Times New Roman" w:cs="Times New Roman"/>
                <w:b/>
                <w:color w:val="000000"/>
              </w:rPr>
              <w:t>ample (O)</w:t>
            </w:r>
          </w:p>
        </w:tc>
        <w:tc>
          <w:tcPr>
            <w:tcW w:w="1205" w:type="dxa"/>
            <w:shd w:val="clear" w:color="auto" w:fill="auto"/>
            <w:noWrap/>
            <w:vAlign w:val="center"/>
            <w:hideMark/>
          </w:tcPr>
          <w:p w14:paraId="7F6E3DC1" w14:textId="501E454F" w:rsidR="00426E50" w:rsidRPr="00F94E42" w:rsidRDefault="00074E89" w:rsidP="002C418C">
            <w:pPr>
              <w:jc w:val="center"/>
              <w:rPr>
                <w:rFonts w:eastAsia="Times New Roman" w:cs="Times New Roman"/>
                <w:b/>
                <w:color w:val="000000"/>
              </w:rPr>
            </w:pPr>
            <w:r>
              <w:rPr>
                <w:rFonts w:eastAsia="Times New Roman" w:cs="Times New Roman"/>
                <w:b/>
                <w:color w:val="000000"/>
              </w:rPr>
              <w:t>Sample m</w:t>
            </w:r>
            <w:r w:rsidR="00426E50" w:rsidRPr="00F94E42">
              <w:rPr>
                <w:rFonts w:eastAsia="Times New Roman" w:cs="Times New Roman"/>
                <w:b/>
                <w:color w:val="000000"/>
              </w:rPr>
              <w:t>ean (M)</w:t>
            </w:r>
          </w:p>
        </w:tc>
        <w:tc>
          <w:tcPr>
            <w:tcW w:w="1294" w:type="dxa"/>
            <w:shd w:val="clear" w:color="auto" w:fill="auto"/>
            <w:noWrap/>
            <w:vAlign w:val="center"/>
            <w:hideMark/>
          </w:tcPr>
          <w:p w14:paraId="43440B0D" w14:textId="58FA1C49" w:rsidR="00426E50" w:rsidRPr="00F94E42" w:rsidRDefault="00074E89" w:rsidP="002C418C">
            <w:pPr>
              <w:jc w:val="center"/>
              <w:rPr>
                <w:rFonts w:eastAsia="Times New Roman" w:cs="Times New Roman"/>
                <w:b/>
                <w:color w:val="000000"/>
              </w:rPr>
            </w:pPr>
            <w:r>
              <w:rPr>
                <w:rFonts w:eastAsia="Times New Roman" w:cs="Times New Roman"/>
                <w:b/>
                <w:color w:val="000000"/>
              </w:rPr>
              <w:t>Standard d</w:t>
            </w:r>
            <w:r w:rsidR="00426E50" w:rsidRPr="00F94E42">
              <w:rPr>
                <w:rFonts w:eastAsia="Times New Roman" w:cs="Times New Roman"/>
                <w:b/>
                <w:color w:val="000000"/>
              </w:rPr>
              <w:t>eviation (STDEV)</w:t>
            </w:r>
          </w:p>
        </w:tc>
        <w:tc>
          <w:tcPr>
            <w:tcW w:w="1667" w:type="dxa"/>
            <w:shd w:val="clear" w:color="auto" w:fill="auto"/>
            <w:noWrap/>
            <w:vAlign w:val="center"/>
            <w:hideMark/>
          </w:tcPr>
          <w:p w14:paraId="2468C7F8" w14:textId="77777777" w:rsidR="00426E50" w:rsidRPr="00F94E42" w:rsidRDefault="00426E50" w:rsidP="002C418C">
            <w:pPr>
              <w:jc w:val="center"/>
              <w:rPr>
                <w:rFonts w:eastAsia="Times New Roman" w:cs="Times New Roman"/>
                <w:b/>
                <w:color w:val="000000"/>
              </w:rPr>
            </w:pPr>
            <w:r w:rsidRPr="00F94E42">
              <w:rPr>
                <w:rFonts w:eastAsia="Times New Roman" w:cs="Times New Roman"/>
                <w:b/>
                <w:color w:val="000000"/>
              </w:rPr>
              <w:t>T Statistics (|O/STDEV|)</w:t>
            </w:r>
          </w:p>
        </w:tc>
        <w:tc>
          <w:tcPr>
            <w:tcW w:w="1008" w:type="dxa"/>
            <w:shd w:val="clear" w:color="auto" w:fill="auto"/>
            <w:noWrap/>
            <w:vAlign w:val="center"/>
            <w:hideMark/>
          </w:tcPr>
          <w:p w14:paraId="62CC2B31" w14:textId="02468564" w:rsidR="00426E50" w:rsidRPr="00F94E42" w:rsidRDefault="00074E89" w:rsidP="002C418C">
            <w:pPr>
              <w:jc w:val="center"/>
              <w:rPr>
                <w:rFonts w:eastAsia="Times New Roman" w:cs="Times New Roman"/>
                <w:b/>
                <w:color w:val="000000"/>
              </w:rPr>
            </w:pPr>
            <w:r>
              <w:rPr>
                <w:rFonts w:eastAsia="Times New Roman" w:cs="Times New Roman"/>
                <w:b/>
                <w:color w:val="000000"/>
              </w:rPr>
              <w:t>P-v</w:t>
            </w:r>
            <w:r w:rsidR="00426E50" w:rsidRPr="00F94E42">
              <w:rPr>
                <w:rFonts w:eastAsia="Times New Roman" w:cs="Times New Roman"/>
                <w:b/>
                <w:color w:val="000000"/>
              </w:rPr>
              <w:t>alues</w:t>
            </w:r>
          </w:p>
        </w:tc>
      </w:tr>
      <w:tr w:rsidR="00426E50" w:rsidRPr="003E79A9" w14:paraId="76B983A5" w14:textId="77777777" w:rsidTr="002C418C">
        <w:trPr>
          <w:trHeight w:val="280"/>
          <w:jc w:val="center"/>
        </w:trPr>
        <w:tc>
          <w:tcPr>
            <w:tcW w:w="2480" w:type="dxa"/>
            <w:shd w:val="clear" w:color="auto" w:fill="auto"/>
            <w:noWrap/>
            <w:vAlign w:val="bottom"/>
            <w:hideMark/>
          </w:tcPr>
          <w:p w14:paraId="54A2ABAE" w14:textId="77777777" w:rsidR="00426E50" w:rsidRPr="00F94E42" w:rsidRDefault="00426E50" w:rsidP="002C418C">
            <w:pPr>
              <w:rPr>
                <w:rFonts w:eastAsia="Times New Roman" w:cs="Times New Roman"/>
                <w:color w:val="000000"/>
              </w:rPr>
            </w:pPr>
            <w:r w:rsidRPr="00F94E42">
              <w:rPr>
                <w:rFonts w:eastAsia="Times New Roman" w:cs="Times New Roman"/>
                <w:color w:val="000000"/>
              </w:rPr>
              <w:t>Digital Infrastructure (Z2) -&gt; Digital Literacy (X)</w:t>
            </w:r>
          </w:p>
        </w:tc>
        <w:tc>
          <w:tcPr>
            <w:tcW w:w="1560" w:type="dxa"/>
            <w:shd w:val="clear" w:color="auto" w:fill="auto"/>
            <w:noWrap/>
            <w:vAlign w:val="center"/>
            <w:hideMark/>
          </w:tcPr>
          <w:p w14:paraId="7FA10D8C"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0.422</w:t>
            </w:r>
          </w:p>
        </w:tc>
        <w:tc>
          <w:tcPr>
            <w:tcW w:w="1205" w:type="dxa"/>
            <w:shd w:val="clear" w:color="auto" w:fill="auto"/>
            <w:noWrap/>
            <w:vAlign w:val="center"/>
            <w:hideMark/>
          </w:tcPr>
          <w:p w14:paraId="60919DCE"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0.438</w:t>
            </w:r>
          </w:p>
        </w:tc>
        <w:tc>
          <w:tcPr>
            <w:tcW w:w="1294" w:type="dxa"/>
            <w:shd w:val="clear" w:color="auto" w:fill="auto"/>
            <w:noWrap/>
            <w:vAlign w:val="center"/>
            <w:hideMark/>
          </w:tcPr>
          <w:p w14:paraId="4D5FE20B"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0.175</w:t>
            </w:r>
          </w:p>
        </w:tc>
        <w:tc>
          <w:tcPr>
            <w:tcW w:w="1667" w:type="dxa"/>
            <w:shd w:val="clear" w:color="auto" w:fill="auto"/>
            <w:noWrap/>
            <w:vAlign w:val="center"/>
            <w:hideMark/>
          </w:tcPr>
          <w:p w14:paraId="726FA3A6"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2.417</w:t>
            </w:r>
          </w:p>
        </w:tc>
        <w:tc>
          <w:tcPr>
            <w:tcW w:w="1008" w:type="dxa"/>
            <w:shd w:val="clear" w:color="auto" w:fill="auto"/>
            <w:noWrap/>
            <w:vAlign w:val="center"/>
            <w:hideMark/>
          </w:tcPr>
          <w:p w14:paraId="3FE60779"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0.016</w:t>
            </w:r>
          </w:p>
        </w:tc>
      </w:tr>
      <w:tr w:rsidR="00426E50" w:rsidRPr="003E79A9" w14:paraId="1FCD3185" w14:textId="77777777" w:rsidTr="002C418C">
        <w:trPr>
          <w:trHeight w:val="280"/>
          <w:jc w:val="center"/>
        </w:trPr>
        <w:tc>
          <w:tcPr>
            <w:tcW w:w="2480" w:type="dxa"/>
            <w:shd w:val="clear" w:color="auto" w:fill="auto"/>
            <w:noWrap/>
            <w:vAlign w:val="bottom"/>
            <w:hideMark/>
          </w:tcPr>
          <w:p w14:paraId="45FC5736" w14:textId="77777777" w:rsidR="00426E50" w:rsidRPr="00F94E42" w:rsidRDefault="00426E50" w:rsidP="002C418C">
            <w:pPr>
              <w:rPr>
                <w:rFonts w:eastAsia="Times New Roman" w:cs="Times New Roman"/>
                <w:color w:val="000000"/>
              </w:rPr>
            </w:pPr>
            <w:r w:rsidRPr="00F94E42">
              <w:rPr>
                <w:rFonts w:eastAsia="Times New Roman" w:cs="Times New Roman"/>
                <w:color w:val="000000"/>
              </w:rPr>
              <w:t>Digital Literacy (X) -&gt; Health Service Effectiveness (Y)</w:t>
            </w:r>
          </w:p>
        </w:tc>
        <w:tc>
          <w:tcPr>
            <w:tcW w:w="1560" w:type="dxa"/>
            <w:shd w:val="clear" w:color="auto" w:fill="auto"/>
            <w:noWrap/>
            <w:vAlign w:val="center"/>
            <w:hideMark/>
          </w:tcPr>
          <w:p w14:paraId="7CAA9FA2"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0.836</w:t>
            </w:r>
          </w:p>
        </w:tc>
        <w:tc>
          <w:tcPr>
            <w:tcW w:w="1205" w:type="dxa"/>
            <w:shd w:val="clear" w:color="auto" w:fill="auto"/>
            <w:noWrap/>
            <w:vAlign w:val="center"/>
            <w:hideMark/>
          </w:tcPr>
          <w:p w14:paraId="38BB1512"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0.836</w:t>
            </w:r>
          </w:p>
        </w:tc>
        <w:tc>
          <w:tcPr>
            <w:tcW w:w="1294" w:type="dxa"/>
            <w:shd w:val="clear" w:color="auto" w:fill="auto"/>
            <w:noWrap/>
            <w:vAlign w:val="center"/>
            <w:hideMark/>
          </w:tcPr>
          <w:p w14:paraId="7C2419E5"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0.032</w:t>
            </w:r>
          </w:p>
        </w:tc>
        <w:tc>
          <w:tcPr>
            <w:tcW w:w="1667" w:type="dxa"/>
            <w:shd w:val="clear" w:color="auto" w:fill="auto"/>
            <w:noWrap/>
            <w:vAlign w:val="center"/>
            <w:hideMark/>
          </w:tcPr>
          <w:p w14:paraId="1002558A"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25.719</w:t>
            </w:r>
          </w:p>
        </w:tc>
        <w:tc>
          <w:tcPr>
            <w:tcW w:w="1008" w:type="dxa"/>
            <w:shd w:val="clear" w:color="auto" w:fill="auto"/>
            <w:noWrap/>
            <w:vAlign w:val="center"/>
            <w:hideMark/>
          </w:tcPr>
          <w:p w14:paraId="44983F9D"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0.000</w:t>
            </w:r>
          </w:p>
        </w:tc>
      </w:tr>
      <w:tr w:rsidR="00426E50" w:rsidRPr="003E79A9" w14:paraId="47B8609F" w14:textId="77777777" w:rsidTr="002C418C">
        <w:trPr>
          <w:trHeight w:val="280"/>
          <w:jc w:val="center"/>
        </w:trPr>
        <w:tc>
          <w:tcPr>
            <w:tcW w:w="2480" w:type="dxa"/>
            <w:shd w:val="clear" w:color="auto" w:fill="auto"/>
            <w:noWrap/>
            <w:vAlign w:val="bottom"/>
            <w:hideMark/>
          </w:tcPr>
          <w:p w14:paraId="1DF179BC" w14:textId="77777777" w:rsidR="00426E50" w:rsidRPr="00F94E42" w:rsidRDefault="00426E50" w:rsidP="002C418C">
            <w:pPr>
              <w:rPr>
                <w:rFonts w:eastAsia="Times New Roman" w:cs="Times New Roman"/>
                <w:color w:val="000000"/>
              </w:rPr>
            </w:pPr>
            <w:r w:rsidRPr="00F94E42">
              <w:rPr>
                <w:rFonts w:eastAsia="Times New Roman" w:cs="Times New Roman"/>
                <w:color w:val="000000"/>
              </w:rPr>
              <w:t>Health Center Policy (Z1) -&gt; Digital Literacy (X)</w:t>
            </w:r>
          </w:p>
        </w:tc>
        <w:tc>
          <w:tcPr>
            <w:tcW w:w="1560" w:type="dxa"/>
            <w:shd w:val="clear" w:color="auto" w:fill="auto"/>
            <w:noWrap/>
            <w:vAlign w:val="center"/>
            <w:hideMark/>
          </w:tcPr>
          <w:p w14:paraId="53D7E089"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0.366</w:t>
            </w:r>
          </w:p>
        </w:tc>
        <w:tc>
          <w:tcPr>
            <w:tcW w:w="1205" w:type="dxa"/>
            <w:shd w:val="clear" w:color="auto" w:fill="auto"/>
            <w:noWrap/>
            <w:vAlign w:val="center"/>
            <w:hideMark/>
          </w:tcPr>
          <w:p w14:paraId="1BCDCD4D"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0.359</w:t>
            </w:r>
          </w:p>
        </w:tc>
        <w:tc>
          <w:tcPr>
            <w:tcW w:w="1294" w:type="dxa"/>
            <w:shd w:val="clear" w:color="auto" w:fill="auto"/>
            <w:noWrap/>
            <w:vAlign w:val="center"/>
            <w:hideMark/>
          </w:tcPr>
          <w:p w14:paraId="4149BB2B"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0.143</w:t>
            </w:r>
          </w:p>
        </w:tc>
        <w:tc>
          <w:tcPr>
            <w:tcW w:w="1667" w:type="dxa"/>
            <w:shd w:val="clear" w:color="auto" w:fill="auto"/>
            <w:noWrap/>
            <w:vAlign w:val="center"/>
            <w:hideMark/>
          </w:tcPr>
          <w:p w14:paraId="449E434D"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2.557</w:t>
            </w:r>
          </w:p>
        </w:tc>
        <w:tc>
          <w:tcPr>
            <w:tcW w:w="1008" w:type="dxa"/>
            <w:shd w:val="clear" w:color="auto" w:fill="auto"/>
            <w:noWrap/>
            <w:vAlign w:val="center"/>
            <w:hideMark/>
          </w:tcPr>
          <w:p w14:paraId="0688C348" w14:textId="77777777" w:rsidR="00426E50" w:rsidRPr="00F94E42" w:rsidRDefault="00426E50" w:rsidP="002C418C">
            <w:pPr>
              <w:jc w:val="center"/>
              <w:rPr>
                <w:rFonts w:eastAsia="Times New Roman" w:cs="Times New Roman"/>
                <w:color w:val="000000"/>
              </w:rPr>
            </w:pPr>
            <w:r w:rsidRPr="00F94E42">
              <w:rPr>
                <w:rFonts w:eastAsia="Times New Roman" w:cs="Times New Roman"/>
                <w:color w:val="000000"/>
              </w:rPr>
              <w:t>0.011</w:t>
            </w:r>
          </w:p>
        </w:tc>
      </w:tr>
    </w:tbl>
    <w:p w14:paraId="45D15FFF" w14:textId="09E83B67" w:rsidR="009F50FD" w:rsidRDefault="005A5398" w:rsidP="004D0D85">
      <w:pPr>
        <w:jc w:val="both"/>
      </w:pPr>
      <w:r w:rsidRPr="005A5398">
        <w:t>The table indicates a positive and statistically significant relationship between variables. This is supported by a positive original sample value and a p-value below 0.05. Specifically, digital literacy demonstrates a positive and significant impact on the effectiveness of health services. The original sample value is 0.836, and the p-value is 0.000, which is less than 0.</w:t>
      </w:r>
      <w:r>
        <w:t>05</w:t>
      </w:r>
      <w:r w:rsidR="00F854C1" w:rsidRPr="00F854C1">
        <w:t xml:space="preserve">. </w:t>
      </w:r>
      <w:r w:rsidRPr="005A5398">
        <w:t>Health center policies have a positive and significant impact on digital literacy with an original sample value of 0.366 and a p-value of 0.011 which is less than 0.05, while digital infrastructure has a positive and significant impact with an original sample value of 0.422 and a p-value of 0.016 which is less than 0.05</w:t>
      </w:r>
      <w:r>
        <w:t>.</w:t>
      </w:r>
    </w:p>
    <w:p w14:paraId="359756C3" w14:textId="77777777" w:rsidR="005A5398" w:rsidRDefault="005A5398" w:rsidP="004D0D85">
      <w:pPr>
        <w:jc w:val="both"/>
      </w:pPr>
    </w:p>
    <w:p w14:paraId="2B44A01A" w14:textId="189745B0" w:rsidR="00852CB1" w:rsidRPr="002E4AD5" w:rsidRDefault="00F854C1" w:rsidP="004D0D85">
      <w:pPr>
        <w:jc w:val="both"/>
        <w:rPr>
          <w:b/>
        </w:rPr>
      </w:pPr>
      <w:r w:rsidRPr="00F854C1">
        <w:rPr>
          <w:b/>
        </w:rPr>
        <w:t xml:space="preserve">Fit </w:t>
      </w:r>
      <w:r w:rsidR="00F1358F" w:rsidRPr="00F854C1">
        <w:rPr>
          <w:b/>
        </w:rPr>
        <w:t xml:space="preserve">Model </w:t>
      </w:r>
      <w:r w:rsidRPr="00F854C1">
        <w:rPr>
          <w:b/>
        </w:rPr>
        <w:t>Test</w:t>
      </w:r>
    </w:p>
    <w:p w14:paraId="1B329FB8" w14:textId="2F6F2C67" w:rsidR="00F854C1" w:rsidRPr="00123F5D" w:rsidRDefault="00155D76" w:rsidP="004D0D85">
      <w:pPr>
        <w:jc w:val="both"/>
      </w:pPr>
      <w:r w:rsidRPr="00123F5D">
        <w:rPr>
          <w:highlight w:val="yellow"/>
        </w:rPr>
        <w:t xml:space="preserve">The results of the model fit analysis show. </w:t>
      </w:r>
      <w:r w:rsidR="007F11C5" w:rsidRPr="00123F5D">
        <w:rPr>
          <w:highlight w:val="yellow"/>
        </w:rPr>
        <w:t>The obtained SRMR value was 0.062 &lt;0.1. This number shows that the model is appropriate or well-fitting. The model has a satisfactory fit for the Exact fit requirement, with d_ULS and d_G values of 39.8% &lt;95%. Additionally, an excellent model fit is indicated by the NFI value of 0.847, which is close to 1</w:t>
      </w:r>
      <w:r w:rsidR="00F854C1" w:rsidRPr="00123F5D">
        <w:rPr>
          <w:highlight w:val="yellow"/>
        </w:rPr>
        <w:t>.</w:t>
      </w:r>
    </w:p>
    <w:p w14:paraId="1EF6F1FF" w14:textId="77777777" w:rsidR="00F854C1" w:rsidRDefault="00F854C1" w:rsidP="004D0D85">
      <w:pPr>
        <w:jc w:val="both"/>
      </w:pPr>
    </w:p>
    <w:p w14:paraId="5C4E99C1" w14:textId="04040470" w:rsidR="00944B1D" w:rsidRPr="000F2E81" w:rsidRDefault="000F2E81" w:rsidP="00B63D83">
      <w:pPr>
        <w:pStyle w:val="Heading1"/>
      </w:pPr>
      <w:r w:rsidRPr="000F2E81">
        <w:t>Discussion</w:t>
      </w:r>
    </w:p>
    <w:p w14:paraId="54F2DC8E" w14:textId="4A982D84" w:rsidR="000F2E81" w:rsidRDefault="00CF09C5" w:rsidP="004D0D85">
      <w:pPr>
        <w:jc w:val="both"/>
      </w:pPr>
      <w:r w:rsidRPr="00CF09C5">
        <w:t>In the health context, digital literacy of health workers includes technical skills (such as operating health applications, e-medical records, telemedicine), critical understanding (assessing the credibility of digital health information), digital security and ethics (protection of patient data, privacy, cybersecurity), and digital collaboration (use of communication platforms for health teamwork).</w:t>
      </w:r>
    </w:p>
    <w:p w14:paraId="1C7B1381" w14:textId="77777777" w:rsidR="00CF09C5" w:rsidRDefault="00CF09C5" w:rsidP="004D0D85">
      <w:pPr>
        <w:jc w:val="both"/>
      </w:pPr>
    </w:p>
    <w:p w14:paraId="428C8776" w14:textId="4CA3EEC1" w:rsidR="00F90B75" w:rsidRDefault="00CF09C5" w:rsidP="004D0D85">
      <w:pPr>
        <w:jc w:val="both"/>
      </w:pPr>
      <w:r w:rsidRPr="00CF09C5">
        <w:t>Digital literacy of health workers plays a role in the effectiveness of health services at Community Health Centers</w:t>
      </w:r>
      <w:r w:rsidRPr="00123F5D">
        <w:rPr>
          <w:highlight w:val="yellow"/>
        </w:rPr>
        <w:t xml:space="preserve">. </w:t>
      </w:r>
      <w:r w:rsidR="002771E4" w:rsidRPr="00123F5D">
        <w:rPr>
          <w:highlight w:val="yellow"/>
        </w:rPr>
        <w:t xml:space="preserve">These results are in line with research conducted by Predrag Bejaković and Željko Mrnjavac which states that increasing health literacy will contribute to the provision of superior health services and ultimately to the overall well-being of society </w:t>
      </w:r>
      <w:r w:rsidR="002771E4" w:rsidRPr="00123F5D">
        <w:rPr>
          <w:highlight w:val="yellow"/>
        </w:rPr>
        <w:fldChar w:fldCharType="begin" w:fldLock="1"/>
      </w:r>
      <w:r w:rsidR="00400570" w:rsidRPr="00123F5D">
        <w:rPr>
          <w:highlight w:val="yellow"/>
        </w:rPr>
        <w:instrText>ADDIN CSL_CITATION {"citationItems":[{"id":"ITEM-1","itemData":{"author":[{"dropping-particle":"","family":"Bejaković","given":"Predrag","non-dropping-particle":"","parse-names":false,"suffix":""},{"dropping-particle":"","family":"Mrnjavac","given":"Željko","non-dropping-particle":"","parse-names":false,"suffix":""}],"container-title":"Heliyon","id":"ITEM-1","issue":"8","issued":{"date-parts":[["2024"]]},"page":"e29737","title":"The characteristics and role of digital literacy in an effective health protection","type":"article-journal","volume":"10"},"uris":["http://www.mendeley.com/documents/?uuid=cf8dcb31-ffb8-4e1d-949a-2e4bac695f2b"]}],"mendeley":{"formattedCitation":"(27)","plainTextFormattedCitation":"(27)","previouslyFormattedCitation":"(27)"},"properties":{"noteIndex":0},"schema":"https://github.com/citation-style-language/schema/raw/master/csl-citation.json"}</w:instrText>
      </w:r>
      <w:r w:rsidR="002771E4" w:rsidRPr="00123F5D">
        <w:rPr>
          <w:highlight w:val="yellow"/>
        </w:rPr>
        <w:fldChar w:fldCharType="separate"/>
      </w:r>
      <w:r w:rsidR="00486BC6" w:rsidRPr="00123F5D">
        <w:rPr>
          <w:noProof/>
          <w:highlight w:val="yellow"/>
        </w:rPr>
        <w:t>(27)</w:t>
      </w:r>
      <w:r w:rsidR="002771E4" w:rsidRPr="00123F5D">
        <w:rPr>
          <w:highlight w:val="yellow"/>
        </w:rPr>
        <w:fldChar w:fldCharType="end"/>
      </w:r>
      <w:r w:rsidR="002771E4" w:rsidRPr="00123F5D">
        <w:rPr>
          <w:highlight w:val="yellow"/>
        </w:rPr>
        <w:t xml:space="preserve">. </w:t>
      </w:r>
      <w:r w:rsidR="00400570" w:rsidRPr="00123F5D">
        <w:rPr>
          <w:highlight w:val="yellow"/>
        </w:rPr>
        <w:t>The findings of this study are also consistent with research by Kruse et al. (2016), which demonstrates that when service providers have sufficient digital literacy, the use of digital technology in health services can boost service efficacy by up to 35%. On the other hand, insufficient digital literacy can seriously hinder the uptake of health technology and even lower the standard of care</w:t>
      </w:r>
      <w:r w:rsidR="00F90B75" w:rsidRPr="00123F5D">
        <w:rPr>
          <w:highlight w:val="yellow"/>
        </w:rPr>
        <w:t xml:space="preserve"> </w:t>
      </w:r>
      <w:r w:rsidR="00400570" w:rsidRPr="00123F5D">
        <w:rPr>
          <w:highlight w:val="yellow"/>
        </w:rPr>
        <w:fldChar w:fldCharType="begin" w:fldLock="1"/>
      </w:r>
      <w:r w:rsidR="00400570" w:rsidRPr="00123F5D">
        <w:rPr>
          <w:highlight w:val="yellow"/>
        </w:rPr>
        <w:instrText>ADDIN CSL_CITATION {"citationItems":[{"id":"ITEM-1","itemData":{"author":[{"dropping-particle":"","family":"Kruse","given":"Clemens Scott","non-dropping-particle":"","parse-names":false,"suffix":""},{"dropping-particle":"","family":"Karem","given":"Priyanka","non-dropping-particle":"","parse-names":false,"suffix":""},{"dropping-particle":"","family":"Brooks","given":"Matthew","non-dropping-particle":"","parse-names":false,"suffix":""}],"container-title":"Journal of Telemedicine and Telecare","id":"ITEM-1","issue":"1","issued":{"date-parts":[["2016"]]},"title":"Evaluating barriers to adopting telemedicine worldwide: A systematic review","type":"article-journal","volume":"24"},"uris":["http://www.mendeley.com/documents/?uuid=70269855-d08b-4bb8-9932-ee9298687f4a"]}],"mendeley":{"formattedCitation":"(28)","plainTextFormattedCitation":"(28)"},"properties":{"noteIndex":0},"schema":"https://github.com/citation-style-language/schema/raw/master/csl-citation.json"}</w:instrText>
      </w:r>
      <w:r w:rsidR="00400570" w:rsidRPr="00123F5D">
        <w:rPr>
          <w:highlight w:val="yellow"/>
        </w:rPr>
        <w:fldChar w:fldCharType="separate"/>
      </w:r>
      <w:r w:rsidR="00400570" w:rsidRPr="00123F5D">
        <w:rPr>
          <w:noProof/>
          <w:highlight w:val="yellow"/>
        </w:rPr>
        <w:t>(28)</w:t>
      </w:r>
      <w:r w:rsidR="00400570" w:rsidRPr="00123F5D">
        <w:rPr>
          <w:highlight w:val="yellow"/>
        </w:rPr>
        <w:fldChar w:fldCharType="end"/>
      </w:r>
      <w:r w:rsidR="00F90B75">
        <w:t>.</w:t>
      </w:r>
    </w:p>
    <w:p w14:paraId="3553C53B" w14:textId="77777777" w:rsidR="00F90B75" w:rsidRDefault="00F90B75" w:rsidP="004D0D85">
      <w:pPr>
        <w:jc w:val="both"/>
      </w:pPr>
    </w:p>
    <w:p w14:paraId="665CBC94" w14:textId="24358C4A" w:rsidR="002771E4" w:rsidRDefault="00CF09C5" w:rsidP="004D0D85">
      <w:pPr>
        <w:jc w:val="both"/>
      </w:pPr>
      <w:r w:rsidRPr="00CF09C5">
        <w:t>This digital literacy role model must be supported by community health center policies related to digital health implementation and the availability of adequate digital infrastructure. Improving the digital literacy of community health center staff requires support from community health center policies.</w:t>
      </w:r>
    </w:p>
    <w:p w14:paraId="469C8F49" w14:textId="77777777" w:rsidR="002771E4" w:rsidRDefault="002771E4" w:rsidP="004D0D85">
      <w:pPr>
        <w:jc w:val="both"/>
      </w:pPr>
    </w:p>
    <w:p w14:paraId="38A7F496" w14:textId="537D1160" w:rsidR="00CF09C5" w:rsidRDefault="00CF09C5" w:rsidP="004D0D85">
      <w:pPr>
        <w:jc w:val="both"/>
      </w:pPr>
      <w:r w:rsidRPr="00CF09C5">
        <w:t>The policy includes providing digital training for Community Health Center officers, building an adaptive mindset through mentoring and incentives for officers who actively adopt technology, and issuing standard operating procedures related to the use of technology.</w:t>
      </w:r>
      <w:r>
        <w:t xml:space="preserve"> </w:t>
      </w:r>
      <w:r w:rsidR="0051520C" w:rsidRPr="00123F5D">
        <w:rPr>
          <w:highlight w:val="yellow"/>
        </w:rPr>
        <w:t>This outcome is consistent with study by Iniobong Ekong et al. (2025), which claims that frontline healthcare personnel' digital readiness can be significantly increased by systematic digital literacy training based on a competence framework and contextual design. These kinds of actions are essential for long-term digital transformation in healthcare systems</w:t>
      </w:r>
      <w:r w:rsidR="00237BAB" w:rsidRPr="00123F5D">
        <w:rPr>
          <w:highlight w:val="yellow"/>
        </w:rPr>
        <w:t xml:space="preserve"> </w:t>
      </w:r>
      <w:r w:rsidR="00237BAB" w:rsidRPr="00123F5D">
        <w:rPr>
          <w:highlight w:val="yellow"/>
        </w:rPr>
        <w:fldChar w:fldCharType="begin" w:fldLock="1"/>
      </w:r>
      <w:r w:rsidR="00400570" w:rsidRPr="00123F5D">
        <w:rPr>
          <w:highlight w:val="yellow"/>
        </w:rPr>
        <w:instrText>ADDIN CSL_CITATION {"citationItems":[{"id":"ITEM-1","itemData":{"DOI":"10.3389/fdgth.2025.1673085","author":[{"dropping-particle":"","family":"Ekong","given":"Iniobong","non-dropping-particle":"","parse-names":false,"suffix":""},{"dropping-particle":"","family":"Sesay","given":"Tom","non-dropping-particle":"","parse-names":false,"suffix":""},{"dropping-particle":"","family":"Samuels","given":"Regina","non-dropping-particle":"","parse-names":false,"suffix":""},{"dropping-particle":"","family":"Foday","given":"Edward","non-dropping-particle":"","parse-names":false,"suffix":""},{"dropping-particle":"","family":"Smart","given":"Francis","non-dropping-particle":"","parse-names":false,"suffix":""},{"dropping-particle":"","family":"Kangbai","given":"Desmond","non-dropping-particle":"","parse-names":false,"suffix":""},{"dropping-particle":"","family":"Ameha","given":"Agazi","non-dropping-particle":"","parse-names":false,"suffix":""},{"dropping-particle":"","family":"Joshi","given":"Vandana","non-dropping-particle":"","parse-names":false,"suffix":""},{"dropping-particle":"","family":"Mayei","given":"Alhassan","non-dropping-particle":"","parse-names":false,"suffix":""},{"dropping-particle":"","family":"Lennemann","given":"Tessa","non-dropping-particle":"","parse-names":false,"suffix":""}],"container-title":"rontiers in Digital Health","id":"ITEM-1","issue":"7","issued":{"date-parts":[["2025"]]},"page":"1673085","title":"Foundational digital literacy training for frontline immunization officers: lessons from implementing the electronic stock management tool across selected comprehensive health centers in Sierra Leone","type":"article-journal","volume":"17"},"uris":["http://www.mendeley.com/documents/?uuid=eb51c725-e4b0-48f4-b3f1-a34c8be1e106"]}],"mendeley":{"formattedCitation":"(29)","plainTextFormattedCitation":"(29)","previouslyFormattedCitation":"(28)"},"properties":{"noteIndex":0},"schema":"https://github.com/citation-style-language/schema/raw/master/csl-citation.json"}</w:instrText>
      </w:r>
      <w:r w:rsidR="00237BAB" w:rsidRPr="00123F5D">
        <w:rPr>
          <w:highlight w:val="yellow"/>
        </w:rPr>
        <w:fldChar w:fldCharType="separate"/>
      </w:r>
      <w:r w:rsidR="00400570" w:rsidRPr="00123F5D">
        <w:rPr>
          <w:noProof/>
          <w:highlight w:val="yellow"/>
        </w:rPr>
        <w:t>(29)</w:t>
      </w:r>
      <w:r w:rsidR="00237BAB" w:rsidRPr="00123F5D">
        <w:rPr>
          <w:highlight w:val="yellow"/>
        </w:rPr>
        <w:fldChar w:fldCharType="end"/>
      </w:r>
      <w:r w:rsidR="00237BAB" w:rsidRPr="00123F5D">
        <w:rPr>
          <w:highlight w:val="yellow"/>
        </w:rPr>
        <w:t>.</w:t>
      </w:r>
      <w:r w:rsidR="00237BAB">
        <w:t xml:space="preserve"> </w:t>
      </w:r>
      <w:r w:rsidRPr="00CF09C5">
        <w:t xml:space="preserve">In addition to policies, Community Health Centers (Puskesmas) also need to provide digital infrastructure support. Local governments must ensure adequate equipment and internet connections, as well as the existence of supporting systems, particularly software that supports digital technology operations in </w:t>
      </w:r>
      <w:r>
        <w:t>Health Centers</w:t>
      </w:r>
      <w:r w:rsidRPr="00CF09C5">
        <w:t>.</w:t>
      </w:r>
    </w:p>
    <w:p w14:paraId="2B1F99A2" w14:textId="77777777" w:rsidR="006115BD" w:rsidRDefault="006115BD" w:rsidP="004D0D85">
      <w:pPr>
        <w:jc w:val="both"/>
      </w:pPr>
    </w:p>
    <w:p w14:paraId="35F515B1" w14:textId="77777777" w:rsidR="009A5E1F" w:rsidRDefault="006115BD" w:rsidP="004D0D85">
      <w:pPr>
        <w:jc w:val="both"/>
      </w:pPr>
      <w:r w:rsidRPr="006115BD">
        <w:t xml:space="preserve">Most community health center staff have low to moderate levels of digital literacy. While they are proficient in operating digital applications, they do not fully understand how to secure patient data digitally. </w:t>
      </w:r>
      <w:r w:rsidR="009A5E1F" w:rsidRPr="00123F5D">
        <w:rPr>
          <w:highlight w:val="yellow"/>
        </w:rPr>
        <w:t>These results are in line with research by Masresha Derese Tegegne et al. (2023), which discovered that 48.2% of healthcare workers lacked computer literacy. Views about digital health technology, training in digital technology, and access to digital technology were all substantially correlated with digital literacy</w:t>
      </w:r>
      <w:bookmarkStart w:id="0" w:name="_GoBack"/>
      <w:bookmarkEnd w:id="0"/>
      <w:r w:rsidR="00800323" w:rsidRPr="00800323">
        <w:rPr>
          <w:color w:val="FF0000"/>
        </w:rPr>
        <w:t xml:space="preserve"> </w:t>
      </w:r>
      <w:r w:rsidR="00800323">
        <w:fldChar w:fldCharType="begin" w:fldLock="1"/>
      </w:r>
      <w:r w:rsidR="00400570">
        <w:instrText>ADDIN CSL_CITATION {"citationItems":[{"id":"ITEM-1","itemData":{"author":[{"dropping-particle":"","family":"Tegegne","given":"Masresha Derese","non-dropping-particle":"","parse-names":false,"suffix":""},{"dropping-particle":"","family":"Tilahun","given":"Binyam","non-dropping-particle":"","parse-names":false,"suffix":""},{"dropping-particle":"","family":"Mamuye","given":"Adane","non-dropping-particle":"","parse-names":false,"suffix":""},{"dropping-particle":"","family":"Kerie","given":"Hailemariam","non-dropping-particle":"","parse-names":false,"suffix":""},{"dropping-particle":"","family":"Nurhussien","given":"Fedlu","non-dropping-particle":"","parse-names":false,"suffix":""},{"dropping-particle":"","family":"Zemen","given":"Endalkachew","non-dropping-particle":"","parse-names":false,"suffix":""},{"dropping-particle":"","family":"Mebratu","given":"Aragaw","non-dropping-particle":"","parse-names":false,"suffix":""},{"dropping-particle":"","family":"Sisay","given":"Girma","non-dropping-particle":"","parse-names":false,"suffix":""},{"dropping-particle":"","family":"Getachew","given":"Redet","non-dropping-particle":"","parse-names":false,"suffix":""},{"dropping-particle":"","family":"Gebeyehu","given":"Henok","non-dropping-particle":"","parse-names":false,"suffix":""},{"dropping-particle":"","family":"Seyoum","given":"Abiy","non-dropping-particle":"","parse-names":false,"suffix":""},{"dropping-particle":"","family":"Tesfaye","given":"Selamsew","non-dropping-particle":"","parse-names":false,"suffix":""},{"dropping-particle":"","family":"Yilma","given":"Tesfahun Melese","non-dropping-particle":"","parse-names":false,"suffix":""}],"container-title":"Frontiers in public health","id":"ITEM-1","issued":{"date-parts":[["2023"]]},"page":"2023 |","title":"Digital literacy level and associated factors among health professionals in a referral and teaching hospital: An implication for future digital health systems implementation","type":"article-journal","volume":"11"},"uris":["http://www.mendeley.com/documents/?uuid=de56904b-a567-41d1-91e5-332e1b578d81"]}],"mendeley":{"formattedCitation":"(30)","plainTextFormattedCitation":"(30)","previouslyFormattedCitation":"(29)"},"properties":{"noteIndex":0},"schema":"https://github.com/citation-style-language/schema/raw/master/csl-citation.json"}</w:instrText>
      </w:r>
      <w:r w:rsidR="00800323">
        <w:fldChar w:fldCharType="separate"/>
      </w:r>
      <w:r w:rsidR="00400570" w:rsidRPr="00400570">
        <w:rPr>
          <w:noProof/>
        </w:rPr>
        <w:t>(30)</w:t>
      </w:r>
      <w:r w:rsidR="00800323">
        <w:fldChar w:fldCharType="end"/>
      </w:r>
      <w:r w:rsidR="00800323">
        <w:t xml:space="preserve">. </w:t>
      </w:r>
    </w:p>
    <w:p w14:paraId="47C58850" w14:textId="77777777" w:rsidR="009A5E1F" w:rsidRDefault="009A5E1F" w:rsidP="004D0D85">
      <w:pPr>
        <w:jc w:val="both"/>
      </w:pPr>
    </w:p>
    <w:p w14:paraId="7655A9C6" w14:textId="164DF53B" w:rsidR="006115BD" w:rsidRDefault="006115BD" w:rsidP="004D0D85">
      <w:pPr>
        <w:jc w:val="both"/>
      </w:pPr>
      <w:r w:rsidRPr="006115BD">
        <w:t>They do not regularly participate in digital skills training/development, which leads to a feeling of discomfort using new technology and an inability to effectively analyze digital health data for program evaluation. This impacts the effectiveness of health services at community health centers, which are considered suboptimal, although they have improved compared to before the implementation of digital technology.</w:t>
      </w:r>
      <w:r w:rsidR="00A1489C">
        <w:t xml:space="preserve"> </w:t>
      </w:r>
      <w:r w:rsidR="00A1489C" w:rsidRPr="00A1489C">
        <w:t>Therefore, accessibility of digital-based services requires adequate technological assets, including staff skills, the applications used, and infrastructure to ensure the sustainability of digital health services</w:t>
      </w:r>
      <w:r w:rsidR="00A1489C">
        <w:t xml:space="preserve"> </w:t>
      </w:r>
      <w:r w:rsidR="00A1489C" w:rsidRPr="009837C6">
        <w:rPr>
          <w:rFonts w:eastAsia="Times New Roman" w:cs="Times New Roman"/>
          <w:sz w:val="20"/>
          <w:szCs w:val="20"/>
        </w:rPr>
        <w:fldChar w:fldCharType="begin" w:fldLock="1"/>
      </w:r>
      <w:r w:rsidR="00400570">
        <w:rPr>
          <w:rFonts w:eastAsia="Times New Roman" w:cs="Times New Roman"/>
          <w:sz w:val="20"/>
          <w:szCs w:val="20"/>
        </w:rPr>
        <w:instrText>ADDIN CSL_CITATION {"citationItems":[{"id":"ITEM-1","itemData":{"DOI":"10.36685/phi.v10i2.782","ISSN":"2477-1570","abstract":"Background:Health policies in Indonesia facilitate public access to healthcare information in efforts to improve public health. These policies rely on the support of electronic healthcare information systems to provide health data and information. However, the usage of these systems faces various challenges that affect their sustainability. Objective:To determine the effect of healthcare information technology assets on the sustainability of healthcare management information systems and the role of healthcare information technology strategies as a moderating variable. Methods:This is a quantitative and explanatory research study. The sample consisted of 350 respondents, with a significance level of 0.05. Latent variables included the sustainability of healthcare management information system usage, healthcare information technology assets, and information system strategies, which also served as an intervening variable. Results:The direct effect test yielded a p-value of 0.000 (&lt;0.05), leading to the rejection of the null hypothesis. Thus, healthcare information technology assets and healthcare information technology strategies have a positive and significant effect on the sustainability of healthcare management information system usage. The indirect effect test yielded a p-value of 0.003 (&lt;0.05), also leading to the rejection of the null hypothesis. These results indicate that the healthcare information technology strategies variable moderates the effect of healthcare information technology assets on the sustainability of healthcare management information system usage. Conclusion:Healthcare information technology strategies strengthen the effect of healthcare information technology assets on the sustainability of healthcare management information system usage. Keywords:Health Policy; Health Information Systems; Information Technology; Indonesia","author":[{"dropping-particle":"","family":"Jumakil","given":"Jumakil","non-dropping-particle":"","parse-names":false,"suffix":""},{"dropping-particle":"","family":"Syaifuddin","given":"Dedy Takdir","non-dropping-particle":"","parse-names":false,"suffix":""},{"dropping-particle":"","family":"Jaya","given":"Muhammad Golok","non-dropping-particle":"","parse-names":false,"suffix":""},{"dropping-particle":"","family":"Yuniar","given":"Nani","non-dropping-particle":"","parse-names":false,"suffix":""}],"container-title":"Public Health of Indonesia","id":"ITEM-1","issue":"2","issued":{"date-parts":[["2024","6","25"]]},"page":"118-132","title":"The Effect of Health Information Technology Assets on the Sustainability of Health Management Information Systems Usage Moderated by Strategy in Kendari City","type":"article-journal","volume":"10"},"uris":["http://www.mendeley.com/documents/?uuid=ac3f7bcf-e656-4686-b989-bb680c01db37"]}],"mendeley":{"formattedCitation":"(31)","plainTextFormattedCitation":"(31)","previouslyFormattedCitation":"(30)"},"properties":{"noteIndex":0},"schema":"https://github.com/citation-style-language/schema/raw/master/csl-citation.json"}</w:instrText>
      </w:r>
      <w:r w:rsidR="00A1489C" w:rsidRPr="009837C6">
        <w:rPr>
          <w:rFonts w:eastAsia="Times New Roman" w:cs="Times New Roman"/>
          <w:sz w:val="20"/>
          <w:szCs w:val="20"/>
        </w:rPr>
        <w:fldChar w:fldCharType="separate"/>
      </w:r>
      <w:r w:rsidR="00400570" w:rsidRPr="00400570">
        <w:rPr>
          <w:rFonts w:eastAsia="Times New Roman" w:cs="Times New Roman"/>
          <w:noProof/>
          <w:sz w:val="20"/>
          <w:szCs w:val="20"/>
        </w:rPr>
        <w:t>(31)</w:t>
      </w:r>
      <w:r w:rsidR="00A1489C" w:rsidRPr="009837C6">
        <w:rPr>
          <w:rFonts w:eastAsia="Times New Roman" w:cs="Times New Roman"/>
          <w:sz w:val="20"/>
          <w:szCs w:val="20"/>
        </w:rPr>
        <w:fldChar w:fldCharType="end"/>
      </w:r>
      <w:r w:rsidR="00A1489C" w:rsidRPr="009837C6">
        <w:rPr>
          <w:rFonts w:eastAsia="Times New Roman" w:cs="Times New Roman"/>
          <w:sz w:val="20"/>
          <w:szCs w:val="20"/>
        </w:rPr>
        <w:t>.</w:t>
      </w:r>
    </w:p>
    <w:p w14:paraId="4E41EF65" w14:textId="77777777" w:rsidR="006115BD" w:rsidRDefault="006115BD" w:rsidP="004D0D85">
      <w:pPr>
        <w:jc w:val="both"/>
      </w:pPr>
    </w:p>
    <w:p w14:paraId="5289CBB5" w14:textId="0557D8DD" w:rsidR="006115BD" w:rsidRDefault="00E3184B" w:rsidP="004D0D85">
      <w:pPr>
        <w:jc w:val="both"/>
      </w:pPr>
      <w:r w:rsidRPr="00E3184B">
        <w:t>Improving digital competency not only accelerates services but also supports Indonesia's digital health transformation.</w:t>
      </w:r>
      <w:r>
        <w:t xml:space="preserve"> </w:t>
      </w:r>
      <w:r w:rsidRPr="00E3184B">
        <w:t>Technology acceptance depends on perceived ease of use and benefits. High digital literacy enables staff to better adopt digital health tools, thereby speeding up the service process</w:t>
      </w:r>
      <w:r>
        <w:t xml:space="preserve"> </w:t>
      </w:r>
      <w:r>
        <w:rPr>
          <w:rFonts w:cs="Times New Roman"/>
        </w:rPr>
        <w:fldChar w:fldCharType="begin" w:fldLock="1"/>
      </w:r>
      <w:r w:rsidR="00400570">
        <w:rPr>
          <w:rFonts w:cs="Times New Roman"/>
        </w:rPr>
        <w:instrText>ADDIN CSL_CITATION {"citationItems":[{"id":"ITEM-1","itemData":{"author":[{"dropping-particle":"","family":"Davis","given":"F. D.","non-dropping-particle":"","parse-names":false,"suffix":""}],"container-title":"MIS Quarterly","id":"ITEM-1","issue":"3","issued":{"date-parts":[["1989"]]},"page":"319-340","title":"Perceived usefulness, perceived ease of use, and user acceptance of information technology","type":"article-journal","volume":"13"},"uris":["http://www.mendeley.com/documents/?uuid=9b18428c-db47-4c65-bc85-018164fd61aa"]}],"mendeley":{"formattedCitation":"(32)","plainTextFormattedCitation":"(32)","previouslyFormattedCitation":"(31)"},"properties":{"noteIndex":0},"schema":"https://github.com/citation-style-language/schema/raw/master/csl-citation.json"}</w:instrText>
      </w:r>
      <w:r>
        <w:rPr>
          <w:rFonts w:cs="Times New Roman"/>
        </w:rPr>
        <w:fldChar w:fldCharType="separate"/>
      </w:r>
      <w:r w:rsidR="00400570" w:rsidRPr="00400570">
        <w:rPr>
          <w:rFonts w:cs="Times New Roman"/>
          <w:noProof/>
        </w:rPr>
        <w:t>(32)</w:t>
      </w:r>
      <w:r>
        <w:rPr>
          <w:rFonts w:cs="Times New Roman"/>
        </w:rPr>
        <w:fldChar w:fldCharType="end"/>
      </w:r>
      <w:r w:rsidRPr="00E3184B">
        <w:t>.</w:t>
      </w:r>
      <w:r>
        <w:t xml:space="preserve"> </w:t>
      </w:r>
      <w:r w:rsidRPr="00E3184B">
        <w:t>Digital integration in primary care can reduce staff workload and human error. However, its success depends heavily on human resource capacity</w:t>
      </w:r>
      <w:r>
        <w:t xml:space="preserve"> </w:t>
      </w:r>
      <w:r>
        <w:rPr>
          <w:rFonts w:cs="Times New Roman"/>
        </w:rPr>
        <w:t xml:space="preserve"> </w:t>
      </w:r>
      <w:r>
        <w:rPr>
          <w:rFonts w:cs="Times New Roman"/>
        </w:rPr>
        <w:fldChar w:fldCharType="begin" w:fldLock="1"/>
      </w:r>
      <w:r w:rsidR="00400570">
        <w:rPr>
          <w:rFonts w:cs="Times New Roman"/>
        </w:rPr>
        <w:instrText>ADDIN CSL_CITATION {"citationItems":[{"id":"ITEM-1","itemData":{"ISBN":"9789289061148","author":[{"dropping-particle":"","family":"WHO","given":"","non-dropping-particle":"","parse-names":false,"suffix":""}],"editor":[{"dropping-particle":"","family":"World Health Organization. Regional Office for Europe","given":"","non-dropping-particle":"","parse-names":false,"suffix":""}],"id":"ITEM-1","issued":{"date-parts":[["2024"]]},"publisher":"World Health Organization","title":"Support tool to strengthen health information systems: guidance for health information system assessment and strategy development, second edition","type":"book"},"uris":["http://www.mendeley.com/documents/?uuid=2fd93a7f-d038-4ac5-9241-41c5fe442b3c"]}],"mendeley":{"formattedCitation":"(33)","plainTextFormattedCitation":"(33)","previouslyFormattedCitation":"(32)"},"properties":{"noteIndex":0},"schema":"https://github.com/citation-style-language/schema/raw/master/csl-citation.json"}</w:instrText>
      </w:r>
      <w:r>
        <w:rPr>
          <w:rFonts w:cs="Times New Roman"/>
        </w:rPr>
        <w:fldChar w:fldCharType="separate"/>
      </w:r>
      <w:r w:rsidR="00400570" w:rsidRPr="00400570">
        <w:rPr>
          <w:rFonts w:cs="Times New Roman"/>
          <w:noProof/>
        </w:rPr>
        <w:t>(33)</w:t>
      </w:r>
      <w:r>
        <w:rPr>
          <w:rFonts w:cs="Times New Roman"/>
        </w:rPr>
        <w:fldChar w:fldCharType="end"/>
      </w:r>
      <w:r w:rsidRPr="00E3184B">
        <w:t>.</w:t>
      </w:r>
    </w:p>
    <w:p w14:paraId="1D28041A" w14:textId="77777777" w:rsidR="00E3184B" w:rsidRDefault="00E3184B" w:rsidP="004D0D85">
      <w:pPr>
        <w:jc w:val="both"/>
      </w:pPr>
    </w:p>
    <w:p w14:paraId="23321757" w14:textId="151F1900" w:rsidR="00E3184B" w:rsidRPr="002C418C" w:rsidRDefault="00E3184B" w:rsidP="004D0D85">
      <w:pPr>
        <w:jc w:val="both"/>
        <w:rPr>
          <w:rFonts w:ascii="Cambria" w:hAnsi="Cambria" w:cs="Arial"/>
          <w:color w:val="404040"/>
        </w:rPr>
      </w:pPr>
      <w:r w:rsidRPr="00E3184B">
        <w:t>Some studies related to</w:t>
      </w:r>
      <w:r w:rsidR="009B1BA2">
        <w:t xml:space="preserve"> this research include research: </w:t>
      </w:r>
      <w:r w:rsidRPr="00E3184B">
        <w:rPr>
          <w:rFonts w:cs="Arial"/>
          <w:color w:val="404040"/>
        </w:rPr>
        <w:t>In the context of digital healthcare services, service quality includes accessibility in the form of ease for patients in accessing healthcare services through digital platforms (telemedicine, health apps, electronic medical records)</w:t>
      </w:r>
      <w:r w:rsidR="009B1BA2">
        <w:rPr>
          <w:rFonts w:cs="Arial"/>
          <w:color w:val="404040"/>
        </w:rPr>
        <w:t xml:space="preserve"> </w:t>
      </w:r>
      <w:r w:rsidR="009B1BA2" w:rsidRPr="00AC3E1D">
        <w:rPr>
          <w:rFonts w:cs="Arial"/>
          <w:color w:val="404040"/>
        </w:rPr>
        <w:fldChar w:fldCharType="begin" w:fldLock="1"/>
      </w:r>
      <w:r w:rsidR="00400570">
        <w:rPr>
          <w:rFonts w:cs="Arial"/>
          <w:color w:val="404040"/>
        </w:rPr>
        <w:instrText>ADDIN CSL_CITATION {"citationItems":[{"id":"ITEM-1","itemData":{"author":[{"dropping-particle":"","family":"Parasuraman","given":"A.","non-dropping-particle":"","parse-names":false,"suffix":""},{"dropping-particle":"","family":"Zeithaml","given":"V.A.","non-dropping-particle":"","parse-names":false,"suffix":""},{"dropping-particle":"","family":"Berry","given":"L.L.","non-dropping-particle":"","parse-names":false,"suffix":""}],"container-title":"Journal of Retailing","id":"ITEM-1","issued":{"date-parts":[["1988"]]},"page":"12-40","title":"SERVQUAL: A Multiple-Item Scale for Measuring Consumer Perceptions of Service Quality","type":"article-journal","volume":"64"},"uris":["http://www.mendeley.com/documents/?uuid=a7633db4-ec08-46c5-98af-3c95fdbfbee1"]}],"mendeley":{"formattedCitation":"(34)","plainTextFormattedCitation":"(34)","previouslyFormattedCitation":"(33)"},"properties":{"noteIndex":0},"schema":"https://github.com/citation-style-language/schema/raw/master/csl-citation.json"}</w:instrText>
      </w:r>
      <w:r w:rsidR="009B1BA2" w:rsidRPr="00AC3E1D">
        <w:rPr>
          <w:rFonts w:cs="Arial"/>
          <w:color w:val="404040"/>
        </w:rPr>
        <w:fldChar w:fldCharType="separate"/>
      </w:r>
      <w:r w:rsidR="00400570" w:rsidRPr="00400570">
        <w:rPr>
          <w:rFonts w:cs="Arial"/>
          <w:noProof/>
          <w:color w:val="404040"/>
        </w:rPr>
        <w:t>(34)</w:t>
      </w:r>
      <w:r w:rsidR="009B1BA2" w:rsidRPr="00AC3E1D">
        <w:rPr>
          <w:rFonts w:cs="Arial"/>
          <w:color w:val="404040"/>
        </w:rPr>
        <w:fldChar w:fldCharType="end"/>
      </w:r>
      <w:r w:rsidRPr="00E3184B">
        <w:rPr>
          <w:rFonts w:cs="Arial"/>
          <w:color w:val="404040"/>
        </w:rPr>
        <w:t>.</w:t>
      </w:r>
      <w:r>
        <w:rPr>
          <w:rFonts w:cs="Arial"/>
          <w:color w:val="404040"/>
        </w:rPr>
        <w:t xml:space="preserve"> </w:t>
      </w:r>
      <w:r w:rsidRPr="00E3184B">
        <w:rPr>
          <w:rFonts w:cs="Arial"/>
          <w:color w:val="404040"/>
        </w:rPr>
        <w:t>Information Accuracy is the reliability of health information provided through digital platforms</w:t>
      </w:r>
      <w:r>
        <w:rPr>
          <w:rFonts w:cs="Arial"/>
          <w:color w:val="404040"/>
        </w:rPr>
        <w:t xml:space="preserve"> </w:t>
      </w:r>
      <w:r w:rsidRPr="00AC3E1D">
        <w:rPr>
          <w:rFonts w:cs="Arial"/>
          <w:color w:val="404040"/>
        </w:rPr>
        <w:fldChar w:fldCharType="begin" w:fldLock="1"/>
      </w:r>
      <w:r w:rsidR="00400570">
        <w:rPr>
          <w:rFonts w:cs="Arial"/>
          <w:color w:val="404040"/>
        </w:rPr>
        <w:instrText>ADDIN CSL_CITATION {"citationItems":[{"id":"ITEM-1","itemData":{"DOI":"10.1016/j.ijinfomgt.2019.04.014","ISSN":"02684012","author":[{"dropping-particle":"","family":"Albarrak","given":"Mohammed S.","non-dropping-particle":"","parse-names":false,"suffix":""},{"dropping-particle":"","family":"Elnahass","given":"Marwa","non-dropping-particle":"","parse-names":false,"suffix":""},{"dropping-particle":"","family":"Papagiannidis","given":"Savvas","non-dropping-particle":"","parse-names":false,"suffix":""},{"dropping-particle":"","family":"Salama","given":"Aly","non-dropping-particle":"","parse-names":false,"suffix":""}],"container-title":"International Journal of Information Management","id":"ITEM-1","issued":{"date-parts":[["2020","2"]]},"page":"1-16","title":"The effect of twitter dissemination on cost of equity: A big data approach","type":"article-journal","volume":"50"},"uris":["http://www.mendeley.com/documents/?uuid=3d7dd97f-14a2-422f-91e0-ccda80840fee"]}],"mendeley":{"formattedCitation":"(35)","plainTextFormattedCitation":"(35)","previouslyFormattedCitation":"(34)"},"properties":{"noteIndex":0},"schema":"https://github.com/citation-style-language/schema/raw/master/csl-citation.json"}</w:instrText>
      </w:r>
      <w:r w:rsidRPr="00AC3E1D">
        <w:rPr>
          <w:rFonts w:cs="Arial"/>
          <w:color w:val="404040"/>
        </w:rPr>
        <w:fldChar w:fldCharType="separate"/>
      </w:r>
      <w:r w:rsidR="00400570" w:rsidRPr="00400570">
        <w:rPr>
          <w:rFonts w:cs="Arial"/>
          <w:noProof/>
          <w:color w:val="404040"/>
        </w:rPr>
        <w:t>(35)</w:t>
      </w:r>
      <w:r w:rsidRPr="00AC3E1D">
        <w:rPr>
          <w:rFonts w:cs="Arial"/>
          <w:color w:val="404040"/>
        </w:rPr>
        <w:fldChar w:fldCharType="end"/>
      </w:r>
      <w:r w:rsidRPr="00E3184B">
        <w:rPr>
          <w:rFonts w:cs="Arial"/>
          <w:color w:val="404040"/>
        </w:rPr>
        <w:t>.</w:t>
      </w:r>
      <w:r>
        <w:rPr>
          <w:rFonts w:cs="Arial"/>
          <w:color w:val="404040"/>
        </w:rPr>
        <w:t xml:space="preserve"> R</w:t>
      </w:r>
      <w:r w:rsidRPr="00E3184B">
        <w:rPr>
          <w:rFonts w:cs="Arial"/>
          <w:color w:val="404040"/>
        </w:rPr>
        <w:t>esponse speed in the form of time efficiency in services, such as online consultations and AI-based diagnoses</w:t>
      </w:r>
      <w:r>
        <w:rPr>
          <w:rFonts w:cs="Arial"/>
          <w:color w:val="404040"/>
        </w:rPr>
        <w:t xml:space="preserve"> </w:t>
      </w:r>
      <w:r w:rsidRPr="00AC3E1D">
        <w:rPr>
          <w:rFonts w:cs="Arial"/>
          <w:color w:val="404040"/>
        </w:rPr>
        <w:fldChar w:fldCharType="begin" w:fldLock="1"/>
      </w:r>
      <w:r w:rsidR="00400570">
        <w:rPr>
          <w:rFonts w:cs="Arial"/>
          <w:color w:val="404040"/>
        </w:rPr>
        <w:instrText>ADDIN CSL_CITATION {"citationItems":[{"id":"ITEM-1","itemData":{"DOI":"10.1111/soc4.12770","ISSN":"1751-9020","abstract":"The Internet of Things (IoT) is a vast, dispersed system in which a diverse array of objects, humans, and other living things is connected via “smart” technologies and the Internet. In this article, I present a thematic review of the literature that focuses on the social dimensions of the IoT. Drawing on research published in sociology, anthropology, cultural geography, critical urban studies, science and technology studies, environmental studies, and human–computer interaction studies and design, I outline key conceptual approaches and then discuss four major themes emerging across these dispersed but cognate literatures: (a) techno</w:instrText>
      </w:r>
      <w:r w:rsidR="00400570">
        <w:rPr>
          <w:rFonts w:cs="Arial" w:hint="eastAsia"/>
          <w:color w:val="404040"/>
        </w:rPr>
        <w:instrText>‐</w:instrText>
      </w:r>
      <w:r w:rsidR="00400570">
        <w:rPr>
          <w:rFonts w:cs="Arial"/>
          <w:color w:val="404040"/>
        </w:rPr>
        <w:instrText>utopian imaginaries, (b) risks and harms, (c) lived experiences, and (d) interventions into futures. As I show, to date, most of the social research literature has focused on the topics of smart cities and smart homes in the context of the Global North. Some researchers have begun to employ innovative methods to generate new and alternative ways of imagining IoT technologies. The article concludes with proposing directions for future research. These include directing more attention to publics' role in intervening in the futures of IoT, to applications of smart technologies beyond the smart city and home, and the IoT in the context of the Global South.","author":[{"dropping-particle":"","family":"Lupton","given":"Deborah","non-dropping-particle":"","parse-names":false,"suffix":""}],"container-title":"Sociology Compass","id":"ITEM-1","issue":"4","issued":{"date-parts":[["2020","4","13"]]},"title":"The Internet of Things: Social dimensions","type":"article-journal","volume":"14"},"uris":["http://www.mendeley.com/documents/?uuid=d2307767-f9c2-4255-a778-81bd2d0a77d6"]}],"mendeley":{"formattedCitation":"(36)","plainTextFormattedCitation":"(36)","previouslyFormattedCitation":"(35)"},"properties":{"noteIndex":0},"schema":"https://github.com/citation-style-language/schema/raw/master/csl-citation.json"}</w:instrText>
      </w:r>
      <w:r w:rsidRPr="00AC3E1D">
        <w:rPr>
          <w:rFonts w:cs="Arial"/>
          <w:color w:val="404040"/>
        </w:rPr>
        <w:fldChar w:fldCharType="separate"/>
      </w:r>
      <w:r w:rsidR="00400570" w:rsidRPr="00400570">
        <w:rPr>
          <w:rFonts w:cs="Arial"/>
          <w:noProof/>
          <w:color w:val="404040"/>
        </w:rPr>
        <w:t>(36)</w:t>
      </w:r>
      <w:r w:rsidRPr="00AC3E1D">
        <w:rPr>
          <w:rFonts w:cs="Arial"/>
          <w:color w:val="404040"/>
        </w:rPr>
        <w:fldChar w:fldCharType="end"/>
      </w:r>
      <w:r>
        <w:rPr>
          <w:rFonts w:cs="Arial"/>
          <w:color w:val="404040"/>
        </w:rPr>
        <w:t xml:space="preserve">. </w:t>
      </w:r>
      <w:r w:rsidRPr="00E3184B">
        <w:rPr>
          <w:rFonts w:cs="Arial"/>
          <w:color w:val="404040"/>
        </w:rPr>
        <w:t xml:space="preserve">and data security in the form of patient privacy protection in </w:t>
      </w:r>
      <w:r w:rsidRPr="002C418C">
        <w:rPr>
          <w:rFonts w:ascii="Cambria" w:hAnsi="Cambria" w:cs="Arial"/>
          <w:color w:val="404040"/>
        </w:rPr>
        <w:t xml:space="preserve">accordance with regulations such as GDPR and HIPAA </w:t>
      </w:r>
      <w:r w:rsidRPr="002C418C">
        <w:rPr>
          <w:rFonts w:ascii="Cambria" w:hAnsi="Cambria" w:cs="Arial"/>
          <w:color w:val="404040"/>
        </w:rPr>
        <w:fldChar w:fldCharType="begin" w:fldLock="1"/>
      </w:r>
      <w:r w:rsidR="00400570">
        <w:rPr>
          <w:rFonts w:ascii="Cambria" w:hAnsi="Cambria" w:cs="Arial"/>
          <w:color w:val="404040"/>
        </w:rPr>
        <w:instrText>ADDIN CSL_CITATION {"citationItems":[{"id":"ITEM-1","itemData":{"DOI":"10.1136/bmjopen-2017-016242","ISSN":"2044-6055","author":[{"dropping-particle":"","family":"Kruse","given":"Clemens Scott","non-dropping-particle":"","parse-names":false,"suffix":""},{"dropping-particle":"","family":"Krowski","given":"Nicole","non-dropping-particle":"","parse-names":false,"suffix":""},{"dropping-particle":"","family":"Rodriguez","given":"Blanca","non-dropping-particle":"","parse-names":false,"suffix":""},{"dropping-particle":"","family":"Tran","given":"Lan","non-dropping-particle":"","parse-names":false,"suffix":""},{"dropping-particle":"","family":"Vela","given":"Jackeline","non-dropping-particle":"","parse-names":false,"suffix":""},{"dropping-particle":"","family":"Brooks","given":"Matthew","non-dropping-particle":"","parse-names":false,"suffix":""}],"container-title":"BMJ Open","id":"ITEM-1","issue":"8","issued":{"date-parts":[["2017","8","3"]]},"page":"e016242","title":"Telehealth and patient satisfaction: a systematic review and narrative analysis","type":"article-journal","volume":"7"},"uris":["http://www.mendeley.com/documents/?uuid=05afb3e0-812a-4ad1-b619-73e23b464da8"]}],"mendeley":{"formattedCitation":"(37)","plainTextFormattedCitation":"(37)","previouslyFormattedCitation":"(36)"},"properties":{"noteIndex":0},"schema":"https://github.com/citation-style-language/schema/raw/master/csl-citation.json"}</w:instrText>
      </w:r>
      <w:r w:rsidRPr="002C418C">
        <w:rPr>
          <w:rFonts w:ascii="Cambria" w:hAnsi="Cambria" w:cs="Arial"/>
          <w:color w:val="404040"/>
        </w:rPr>
        <w:fldChar w:fldCharType="separate"/>
      </w:r>
      <w:r w:rsidR="00400570" w:rsidRPr="00400570">
        <w:rPr>
          <w:rFonts w:ascii="Cambria" w:hAnsi="Cambria" w:cs="Arial"/>
          <w:noProof/>
          <w:color w:val="404040"/>
        </w:rPr>
        <w:t>(37)</w:t>
      </w:r>
      <w:r w:rsidRPr="002C418C">
        <w:rPr>
          <w:rFonts w:ascii="Cambria" w:hAnsi="Cambria" w:cs="Arial"/>
          <w:color w:val="404040"/>
        </w:rPr>
        <w:fldChar w:fldCharType="end"/>
      </w:r>
      <w:r w:rsidRPr="002C418C">
        <w:rPr>
          <w:rFonts w:ascii="Cambria" w:hAnsi="Cambria" w:cs="Arial"/>
          <w:color w:val="404040"/>
        </w:rPr>
        <w:t>.</w:t>
      </w:r>
      <w:r w:rsidR="00A1489C">
        <w:rPr>
          <w:rFonts w:ascii="Cambria" w:hAnsi="Cambria" w:cs="Arial"/>
          <w:color w:val="404040"/>
        </w:rPr>
        <w:t xml:space="preserve"> </w:t>
      </w:r>
    </w:p>
    <w:p w14:paraId="56CF34A9" w14:textId="77777777" w:rsidR="002C418C" w:rsidRPr="002C418C" w:rsidRDefault="002C418C" w:rsidP="004D0D85">
      <w:pPr>
        <w:jc w:val="both"/>
        <w:rPr>
          <w:rFonts w:ascii="Cambria" w:hAnsi="Cambria" w:cs="Arial"/>
          <w:color w:val="404040"/>
        </w:rPr>
      </w:pPr>
    </w:p>
    <w:p w14:paraId="6624119B" w14:textId="5803726F" w:rsidR="002C418C" w:rsidRPr="002C418C" w:rsidRDefault="002C418C" w:rsidP="00B63D83">
      <w:pPr>
        <w:pStyle w:val="Heading1"/>
      </w:pPr>
      <w:r w:rsidRPr="002C418C">
        <w:t>Conclusion</w:t>
      </w:r>
    </w:p>
    <w:p w14:paraId="174A02CA" w14:textId="3331DC4F" w:rsidR="002C418C" w:rsidRDefault="0059462E" w:rsidP="004D0D85">
      <w:pPr>
        <w:jc w:val="both"/>
        <w:rPr>
          <w:rFonts w:ascii="Cambria" w:hAnsi="Cambria"/>
        </w:rPr>
      </w:pPr>
      <w:r w:rsidRPr="0059462E">
        <w:rPr>
          <w:rFonts w:ascii="Cambria" w:hAnsi="Cambria"/>
        </w:rPr>
        <w:t>Digital literacy has a positive and significant impact on service effectiveness. Digital infrastructure has a positive and significant impact on digital literacy, and community health center policies have a positive and significant impact on digital literacy. To obtain more effective digital health services at community health centers, the role of good digital literacy among community health center staff is required. For community health center staff to have good digital health literacy, support from community health center policies and adequate digital infrastructure is needed.</w:t>
      </w:r>
    </w:p>
    <w:p w14:paraId="191E6809" w14:textId="77777777" w:rsidR="008D0B27" w:rsidRDefault="008D0B27" w:rsidP="004D0D85">
      <w:pPr>
        <w:jc w:val="both"/>
        <w:rPr>
          <w:rFonts w:ascii="Cambria" w:hAnsi="Cambria"/>
        </w:rPr>
      </w:pPr>
    </w:p>
    <w:p w14:paraId="38C61172" w14:textId="4C65A431" w:rsidR="00E916AB" w:rsidRDefault="00E916AB" w:rsidP="004D0D85">
      <w:pPr>
        <w:jc w:val="both"/>
        <w:rPr>
          <w:rFonts w:ascii="Cambria" w:hAnsi="Cambria"/>
        </w:rPr>
      </w:pPr>
      <w:r w:rsidRPr="00E916AB">
        <w:rPr>
          <w:b/>
        </w:rPr>
        <w:t>Acknowledgments:</w:t>
      </w:r>
    </w:p>
    <w:p w14:paraId="72971FF1" w14:textId="01E76626" w:rsidR="00E916AB" w:rsidRDefault="00E916AB" w:rsidP="004D0D85">
      <w:pPr>
        <w:jc w:val="both"/>
        <w:rPr>
          <w:rFonts w:ascii="Cambria" w:hAnsi="Cambria"/>
        </w:rPr>
      </w:pPr>
      <w:r w:rsidRPr="00E916AB">
        <w:rPr>
          <w:rFonts w:ascii="Cambria" w:hAnsi="Cambria"/>
        </w:rPr>
        <w:t>We extend our deepest gratitude to Rector of Halo Oleo University, for his contributions to this research, both in terms of academic support and the facilities provided, which enabled this research to be carried out successfully and achieve the desired results. The authors also extend their gratitude to all respondents who participated and were willing to provide valuable new information for this research.</w:t>
      </w:r>
    </w:p>
    <w:p w14:paraId="46ADCE02" w14:textId="77777777" w:rsidR="00E916AB" w:rsidRDefault="00E916AB" w:rsidP="004D0D85">
      <w:pPr>
        <w:jc w:val="both"/>
        <w:rPr>
          <w:rFonts w:ascii="Cambria" w:hAnsi="Cambria"/>
        </w:rPr>
      </w:pPr>
    </w:p>
    <w:p w14:paraId="49D245D8" w14:textId="392CACA1" w:rsidR="00E916AB" w:rsidRDefault="00E916AB" w:rsidP="002A2BCD">
      <w:pPr>
        <w:jc w:val="both"/>
        <w:rPr>
          <w:rFonts w:ascii="Cambria" w:hAnsi="Cambria"/>
        </w:rPr>
      </w:pPr>
      <w:r>
        <w:rPr>
          <w:b/>
        </w:rPr>
        <w:t>Etical Permission</w:t>
      </w:r>
      <w:r w:rsidRPr="00E916AB">
        <w:rPr>
          <w:b/>
        </w:rPr>
        <w:t>s:</w:t>
      </w:r>
    </w:p>
    <w:p w14:paraId="143DB257" w14:textId="6A5BF9BA" w:rsidR="002E62FB" w:rsidRDefault="00A5407A" w:rsidP="002A2BCD">
      <w:pPr>
        <w:pStyle w:val="Heading1"/>
        <w:spacing w:before="0"/>
        <w:jc w:val="both"/>
        <w:rPr>
          <w:rFonts w:eastAsiaTheme="minorEastAsia" w:cstheme="minorBidi"/>
          <w:b w:val="0"/>
          <w:bCs w:val="0"/>
          <w:szCs w:val="24"/>
        </w:rPr>
      </w:pPr>
      <w:r w:rsidRPr="00A5407A">
        <w:rPr>
          <w:rFonts w:eastAsiaTheme="minorEastAsia" w:cstheme="minorBidi"/>
          <w:b w:val="0"/>
          <w:bCs w:val="0"/>
          <w:szCs w:val="24"/>
        </w:rPr>
        <w:t>To protect each participant's rights, safety, and welfare, this study complies with ethical guidelines. The Health Research Ethics Commission (KEPK) of the Regional Executive Board of the Indonesian Public Health Experts Association (IAKMI) of Southeast Sulawesi Province granted ethics approval for the study under the number 104/KEPK-IAKMI/VII/2025. All responders received comprehensive information about the goals, methods, possible dangers, and advantages of this study. To guarantee their voluntary involvement, each participant gave their informed consent. Throughout the investigation, confidentiality was upheld</w:t>
      </w:r>
      <w:r w:rsidR="002A2BCD">
        <w:rPr>
          <w:rFonts w:eastAsiaTheme="minorEastAsia" w:cstheme="minorBidi"/>
          <w:b w:val="0"/>
          <w:bCs w:val="0"/>
          <w:szCs w:val="24"/>
        </w:rPr>
        <w:t>.</w:t>
      </w:r>
    </w:p>
    <w:p w14:paraId="06F5BB0C" w14:textId="77777777" w:rsidR="002A2BCD" w:rsidRDefault="002A2BCD" w:rsidP="002A2BCD"/>
    <w:p w14:paraId="1F4055AA" w14:textId="55A9D3B3" w:rsidR="002A2BCD" w:rsidRDefault="002A2BCD" w:rsidP="002A2BCD">
      <w:pPr>
        <w:jc w:val="both"/>
        <w:rPr>
          <w:rFonts w:ascii="Cambria" w:hAnsi="Cambria"/>
        </w:rPr>
      </w:pPr>
      <w:r w:rsidRPr="002A2BCD">
        <w:rPr>
          <w:b/>
        </w:rPr>
        <w:t>Conflict of Interest</w:t>
      </w:r>
      <w:r w:rsidRPr="00E916AB">
        <w:rPr>
          <w:b/>
        </w:rPr>
        <w:t>:</w:t>
      </w:r>
    </w:p>
    <w:p w14:paraId="7CCE3EF9" w14:textId="5D78837C" w:rsidR="002A2BCD" w:rsidRDefault="002A2BCD" w:rsidP="00A26620">
      <w:pPr>
        <w:jc w:val="both"/>
      </w:pPr>
      <w:r w:rsidRPr="002A2BCD">
        <w:t>No conflicts of interest were reported by the authors</w:t>
      </w:r>
      <w:r>
        <w:t>.</w:t>
      </w:r>
    </w:p>
    <w:p w14:paraId="0AFD2284" w14:textId="77777777" w:rsidR="002A2BCD" w:rsidRDefault="002A2BCD" w:rsidP="002A2BCD"/>
    <w:p w14:paraId="033B0AA6" w14:textId="1F3CD8F7" w:rsidR="00A26620" w:rsidRDefault="00A26620" w:rsidP="00A26620">
      <w:pPr>
        <w:jc w:val="both"/>
        <w:rPr>
          <w:rFonts w:ascii="Cambria" w:hAnsi="Cambria"/>
        </w:rPr>
      </w:pPr>
      <w:r w:rsidRPr="00A26620">
        <w:rPr>
          <w:b/>
        </w:rPr>
        <w:t>Author Contributions</w:t>
      </w:r>
      <w:r w:rsidRPr="00E916AB">
        <w:rPr>
          <w:b/>
        </w:rPr>
        <w:t>:</w:t>
      </w:r>
    </w:p>
    <w:p w14:paraId="0B143988" w14:textId="36888D0D" w:rsidR="00A26620" w:rsidRDefault="00A26620" w:rsidP="00A26620">
      <w:pPr>
        <w:jc w:val="both"/>
      </w:pPr>
      <w:r w:rsidRPr="00A26620">
        <w:t>Jumakil Jumakil (First Author), Introduction Author/Original Researcher/Methodologist/Discussion Author/Statistical Analyst (50%); Suhadi Suhadi (Second Author), Original Researcher/Discussion Author (20%); Lade ALbar K</w:t>
      </w:r>
      <w:r w:rsidR="00C966C9">
        <w:t>alza</w:t>
      </w:r>
      <w:r w:rsidRPr="00A26620">
        <w:t xml:space="preserve"> (Third Author), Original </w:t>
      </w:r>
      <w:r w:rsidR="00362DA1">
        <w:t>Researcher/Discussion Author (15</w:t>
      </w:r>
      <w:r w:rsidRPr="00A26620">
        <w:t>%); Muhammad Bagus Yahya (Fourth Author), Original</w:t>
      </w:r>
      <w:r w:rsidR="00334ED5">
        <w:t xml:space="preserve"> </w:t>
      </w:r>
      <w:r w:rsidR="00362DA1">
        <w:t>Researcher/</w:t>
      </w:r>
      <w:r w:rsidR="004E66F4" w:rsidRPr="004E66F4">
        <w:t xml:space="preserve">Data Collector </w:t>
      </w:r>
      <w:r w:rsidR="00362DA1">
        <w:t>(5</w:t>
      </w:r>
      <w:r w:rsidRPr="00A26620">
        <w:t>%); Miftahul Wahida (Fifth Author), Original Researcher/</w:t>
      </w:r>
      <w:r w:rsidR="004E66F4" w:rsidRPr="004E66F4">
        <w:t xml:space="preserve">Data Collector </w:t>
      </w:r>
      <w:r w:rsidRPr="00A26620">
        <w:t>(5%), ; Miftahul Jannah Ihsani (Sixth Author), Original Researcher/</w:t>
      </w:r>
      <w:r w:rsidR="004E66F4" w:rsidRPr="004E66F4">
        <w:t xml:space="preserve">Data Collector </w:t>
      </w:r>
      <w:r w:rsidRPr="00A26620">
        <w:t>(5%)</w:t>
      </w:r>
      <w:r>
        <w:t>.</w:t>
      </w:r>
    </w:p>
    <w:p w14:paraId="63A5826E" w14:textId="77777777" w:rsidR="00A26620" w:rsidRDefault="00A26620" w:rsidP="00A26620">
      <w:pPr>
        <w:jc w:val="both"/>
      </w:pPr>
    </w:p>
    <w:p w14:paraId="60FF6A96" w14:textId="04601A1A" w:rsidR="00A26620" w:rsidRDefault="00A26620" w:rsidP="00A26620">
      <w:pPr>
        <w:jc w:val="both"/>
        <w:rPr>
          <w:rFonts w:ascii="Cambria" w:hAnsi="Cambria"/>
        </w:rPr>
      </w:pPr>
      <w:r>
        <w:rPr>
          <w:b/>
        </w:rPr>
        <w:t>Funding/Support</w:t>
      </w:r>
      <w:r w:rsidRPr="00E916AB">
        <w:rPr>
          <w:b/>
        </w:rPr>
        <w:t>:</w:t>
      </w:r>
    </w:p>
    <w:p w14:paraId="5F89AA66" w14:textId="4B4C3B50" w:rsidR="00A26620" w:rsidRDefault="006457FC" w:rsidP="00A26620">
      <w:pPr>
        <w:jc w:val="both"/>
      </w:pPr>
      <w:r w:rsidRPr="006457FC">
        <w:t>The Indonesian Ministry of Health, via Halu Oleo University, provided funding for this study</w:t>
      </w:r>
      <w:r w:rsidR="00FA6806">
        <w:t>.</w:t>
      </w:r>
    </w:p>
    <w:p w14:paraId="2C21D98D" w14:textId="77777777" w:rsidR="002A2BCD" w:rsidRDefault="002A2BCD" w:rsidP="002A2BCD"/>
    <w:p w14:paraId="3E89F33E" w14:textId="1DEF6835" w:rsidR="008D0B27" w:rsidRPr="008D0B27" w:rsidRDefault="008D0B27" w:rsidP="00B63D83">
      <w:pPr>
        <w:pStyle w:val="Heading1"/>
      </w:pPr>
      <w:r w:rsidRPr="008D0B27">
        <w:t>References</w:t>
      </w:r>
    </w:p>
    <w:p w14:paraId="45C19C20" w14:textId="09532389" w:rsidR="00400570" w:rsidRPr="00400570" w:rsidRDefault="00F70054" w:rsidP="00400570">
      <w:pPr>
        <w:widowControl w:val="0"/>
        <w:autoSpaceDE w:val="0"/>
        <w:autoSpaceDN w:val="0"/>
        <w:adjustRightInd w:val="0"/>
        <w:ind w:left="640" w:hanging="640"/>
        <w:rPr>
          <w:rFonts w:ascii="Cambria" w:hAnsi="Cambria"/>
          <w:noProof/>
        </w:rPr>
      </w:pPr>
      <w:r>
        <w:rPr>
          <w:rFonts w:ascii="Cambria" w:hAnsi="Cambria"/>
        </w:rPr>
        <w:fldChar w:fldCharType="begin" w:fldLock="1"/>
      </w:r>
      <w:r>
        <w:rPr>
          <w:rFonts w:ascii="Cambria" w:hAnsi="Cambria"/>
        </w:rPr>
        <w:instrText xml:space="preserve">ADDIN Mendeley Bibliography CSL_BIBLIOGRAPHY </w:instrText>
      </w:r>
      <w:r>
        <w:rPr>
          <w:rFonts w:ascii="Cambria" w:hAnsi="Cambria"/>
        </w:rPr>
        <w:fldChar w:fldCharType="separate"/>
      </w:r>
      <w:r w:rsidR="00400570" w:rsidRPr="00400570">
        <w:rPr>
          <w:rFonts w:ascii="Cambria" w:hAnsi="Cambria"/>
          <w:noProof/>
        </w:rPr>
        <w:t xml:space="preserve">1. </w:t>
      </w:r>
      <w:r w:rsidR="00400570" w:rsidRPr="00400570">
        <w:rPr>
          <w:rFonts w:ascii="Cambria" w:hAnsi="Cambria"/>
          <w:noProof/>
        </w:rPr>
        <w:tab/>
        <w:t xml:space="preserve">Singh S, Bhatt P, Sharma SK, Rabiu S. Digital Transformation in Healthcare: Innovation and Technologies. In: Blockchain for Healthcare Systems. 1st Editio. CRC Press; 2021. </w:t>
      </w:r>
    </w:p>
    <w:p w14:paraId="2F8F46AD"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 </w:t>
      </w:r>
      <w:r w:rsidRPr="00400570">
        <w:rPr>
          <w:rFonts w:ascii="Cambria" w:hAnsi="Cambria"/>
          <w:noProof/>
        </w:rPr>
        <w:tab/>
        <w:t>Gopal G, Suter-Crazzolara C, Toldo L, Eberhardt W. Digital transformation in healthcare – architectures of present and future information technologies. Clin Chem Lab Med [Internet]. 2019 Feb 25;57(3):328–35. Available from: https://www.degruyter.com/document/doi/10.1515/cclm-2018-0658/html</w:t>
      </w:r>
    </w:p>
    <w:p w14:paraId="26972687"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 </w:t>
      </w:r>
      <w:r w:rsidRPr="00400570">
        <w:rPr>
          <w:rFonts w:ascii="Cambria" w:hAnsi="Cambria"/>
          <w:noProof/>
        </w:rPr>
        <w:tab/>
        <w:t>Marques ICP, Ferreira JJM. Digital transformation in the area of health: systematic review of 45 years of evolution. Health Technol (Berl) [Internet]. 2020 May 13;10(3):575–86. Available from: http://link.springer.com/10.1007/s12553-019-00402-8</w:t>
      </w:r>
    </w:p>
    <w:p w14:paraId="0FADCE0E"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4. </w:t>
      </w:r>
      <w:r w:rsidRPr="00400570">
        <w:rPr>
          <w:rFonts w:ascii="Cambria" w:hAnsi="Cambria"/>
          <w:noProof/>
        </w:rPr>
        <w:tab/>
        <w:t xml:space="preserve">Sulaiman ES. Manajemen Kesehatan: Teori dan Praktik di Puskesmas. Yogyakarta: Gadjah Mada University Press; 2021. </w:t>
      </w:r>
    </w:p>
    <w:p w14:paraId="19C6ADBB"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5. </w:t>
      </w:r>
      <w:r w:rsidRPr="00400570">
        <w:rPr>
          <w:rFonts w:ascii="Cambria" w:hAnsi="Cambria"/>
          <w:noProof/>
        </w:rPr>
        <w:tab/>
        <w:t xml:space="preserve">Kemenkes R.I. Digitalisasi Permudah Akses Layanan Kesehatan Primer. 2025. </w:t>
      </w:r>
    </w:p>
    <w:p w14:paraId="76038CB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6. </w:t>
      </w:r>
      <w:r w:rsidRPr="00400570">
        <w:rPr>
          <w:rFonts w:ascii="Cambria" w:hAnsi="Cambria"/>
          <w:noProof/>
        </w:rPr>
        <w:tab/>
        <w:t>Kemenkes R.I. Peraturan Menteri Kesehatan Nomor 31 Tahun 2019 tentang Sistem Informasi Puskesmas [Internet]. Jakarta: Menteri Kesehatan Republik Indonesia; 2019. Available from: https://peraturan.bpk.go.id/Details/138622/permenkes-no-31-tahun-2019</w:t>
      </w:r>
    </w:p>
    <w:p w14:paraId="013A21A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7. </w:t>
      </w:r>
      <w:r w:rsidRPr="00400570">
        <w:rPr>
          <w:rFonts w:ascii="Cambria" w:hAnsi="Cambria"/>
          <w:noProof/>
        </w:rPr>
        <w:tab/>
        <w:t xml:space="preserve">Kemenkes R.I. Peraturan Menteri Kesehatan Nomor 20 Tahun 2019 tentang Penyelenggaraan Pelayanan Telemedicine Antar Fasilitas Pelayanan Kesehatan. Jakarta: Mentri Kesehatan Republik Indonesia; 2019. </w:t>
      </w:r>
    </w:p>
    <w:p w14:paraId="2E2996C7"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8. </w:t>
      </w:r>
      <w:r w:rsidRPr="00400570">
        <w:rPr>
          <w:rFonts w:ascii="Cambria" w:hAnsi="Cambria"/>
          <w:noProof/>
        </w:rPr>
        <w:tab/>
        <w:t xml:space="preserve">Kemenkes R.I. Peraturan Menteri Kesehatan Nomor 24 Tahun 2022 tentang Rekam Medis. Jakarta: Menteri Kesehatan Republik Indonesia; 2022. </w:t>
      </w:r>
    </w:p>
    <w:p w14:paraId="0C8A0FFD"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9. </w:t>
      </w:r>
      <w:r w:rsidRPr="00400570">
        <w:rPr>
          <w:rFonts w:ascii="Cambria" w:hAnsi="Cambria"/>
          <w:noProof/>
        </w:rPr>
        <w:tab/>
        <w:t>Arias López M del P, Ong BA, Borrat Frigola X, Fernández AL, Hicklent RS, Obeles AJT, et al. Digital literacy as a new determinant of health: A scoping review. Ziegler J, editor. PLOS Digit Heal [Internet]. 2023 Oct 12;2(10):e0000279. Available from: https://dx.plos.org/10.1371/journal.pdig.0000279</w:t>
      </w:r>
    </w:p>
    <w:p w14:paraId="279404A9"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10. </w:t>
      </w:r>
      <w:r w:rsidRPr="00400570">
        <w:rPr>
          <w:rFonts w:ascii="Cambria" w:hAnsi="Cambria"/>
          <w:noProof/>
        </w:rPr>
        <w:tab/>
        <w:t xml:space="preserve">Kementerian Kesehatan RI. Profil Kesehatan Indonesia Tahun 2022. Jakarta; 2022. </w:t>
      </w:r>
    </w:p>
    <w:p w14:paraId="74839BE0"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11. </w:t>
      </w:r>
      <w:r w:rsidRPr="00400570">
        <w:rPr>
          <w:rFonts w:ascii="Cambria" w:hAnsi="Cambria"/>
          <w:noProof/>
        </w:rPr>
        <w:tab/>
        <w:t xml:space="preserve">Dinas Kesehatan Kota Kendari. Profil Kesehatan Kota Kendari Tahun 2023. Kendari; 2023. </w:t>
      </w:r>
    </w:p>
    <w:p w14:paraId="77FFC5B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12. </w:t>
      </w:r>
      <w:r w:rsidRPr="00400570">
        <w:rPr>
          <w:rFonts w:ascii="Cambria" w:hAnsi="Cambria"/>
          <w:noProof/>
        </w:rPr>
        <w:tab/>
        <w:t xml:space="preserve">Kemenkes R.I. Keputusan Menteri Kesehatan (Kepmenkes) Nomor HK.01.07/MENKES/1559/2022 Tentang Penerapan Sistem Pemerintahan Berbasis Elektronik Bidang Kesehatan dan Strategi Transformasi Digital Kesehatan. Jakarta: Menteri Kesehatan Republik Indonesia; 2022. </w:t>
      </w:r>
    </w:p>
    <w:p w14:paraId="2A50DDEA"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13. </w:t>
      </w:r>
      <w:r w:rsidRPr="00400570">
        <w:rPr>
          <w:rFonts w:ascii="Cambria" w:hAnsi="Cambria"/>
          <w:noProof/>
        </w:rPr>
        <w:tab/>
        <w:t>Sufriyana H, Husnayain A, Chen Y-L, Kuo C-Y, Singh O, Yeh T-Y, et al. Comparison of Multivariable Logistic Regression and Other Machine Learning Algorithms for Prognostic Prediction Studies in Pregnancy Care: Systematic Review and Meta-Analysis. JMIR Med Informatics [Internet]. 2020 Nov 17;8(11):e16503. Available from: http://medinform.jmir.org/2020/11/e16503/</w:t>
      </w:r>
    </w:p>
    <w:p w14:paraId="7B5E2B27"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14. </w:t>
      </w:r>
      <w:r w:rsidRPr="00400570">
        <w:rPr>
          <w:rFonts w:ascii="Cambria" w:hAnsi="Cambria"/>
          <w:noProof/>
        </w:rPr>
        <w:tab/>
        <w:t xml:space="preserve">Kemenkes R.I. Evaluasi Implementasi Sistem Informasi Puskesmas (SIP). Jakarta; 2022. </w:t>
      </w:r>
    </w:p>
    <w:p w14:paraId="66AA6C81"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15. </w:t>
      </w:r>
      <w:r w:rsidRPr="00400570">
        <w:rPr>
          <w:rFonts w:ascii="Cambria" w:hAnsi="Cambria"/>
          <w:noProof/>
        </w:rPr>
        <w:tab/>
        <w:t>Mahmoud Z, Angelé-Halgand N, Churruca K, Ellis LA, Braithwaite J. The impact of lean management on frontline healthcare professionals: a scoping review of the literature. BMC Health Serv Res [Internet]. 2021 Dec 26;21(1):383. Available from: https://bmchealthservres.biomedcentral.com/articles/10.1186/s12913-021-06344-0</w:t>
      </w:r>
    </w:p>
    <w:p w14:paraId="33117C1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16. </w:t>
      </w:r>
      <w:r w:rsidRPr="00400570">
        <w:rPr>
          <w:rFonts w:ascii="Cambria" w:hAnsi="Cambria"/>
          <w:noProof/>
        </w:rPr>
        <w:tab/>
        <w:t>Bonacossa de Almeida CE, Harbron RW, Valle Bahia PR, Murta Dovales AC. The impact of the COVID-19 pandemic on the use of diagnostic imaging examinations in the Brazilian unified healthcare system (SUS). Heal Policy Technol [Internet]. 2023 Mar;12(1):100725. Available from: https://linkinghub.elsevier.com/retrieve/pii/S2211883723000035</w:t>
      </w:r>
    </w:p>
    <w:p w14:paraId="40D22F0F"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17. </w:t>
      </w:r>
      <w:r w:rsidRPr="00400570">
        <w:rPr>
          <w:rFonts w:ascii="Cambria" w:hAnsi="Cambria"/>
          <w:noProof/>
        </w:rPr>
        <w:tab/>
        <w:t xml:space="preserve">Sugiyono. Metode Penelitian Kuantitatif, Kualitatif, dan R&amp;D. Bandung: CV. Alfabeta; 2017. </w:t>
      </w:r>
    </w:p>
    <w:p w14:paraId="5A642ED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18. </w:t>
      </w:r>
      <w:r w:rsidRPr="00400570">
        <w:rPr>
          <w:rFonts w:ascii="Cambria" w:hAnsi="Cambria"/>
          <w:noProof/>
        </w:rPr>
        <w:tab/>
        <w:t xml:space="preserve">Notoadmojo S. Metodologi Penelitian Kesehatan. Jakarta: Rineka Cipta; 2018. </w:t>
      </w:r>
    </w:p>
    <w:p w14:paraId="5065A028"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19. </w:t>
      </w:r>
      <w:r w:rsidRPr="00400570">
        <w:rPr>
          <w:rFonts w:ascii="Cambria" w:hAnsi="Cambria"/>
          <w:noProof/>
        </w:rPr>
        <w:tab/>
        <w:t>Hair JF, Hult GTM, Ringle CM, Sarstedt M, Danks NP, Ray S. Partial Least Squares Structural Equation Modeling (PLS-SEM) Using R [Internet]. Springer; 2021. Available from: https://doi.org/10.1007/978-3-030-80519-7</w:t>
      </w:r>
    </w:p>
    <w:p w14:paraId="65BE0542"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20. </w:t>
      </w:r>
      <w:r w:rsidRPr="00400570">
        <w:rPr>
          <w:rFonts w:ascii="Cambria" w:hAnsi="Cambria"/>
          <w:noProof/>
        </w:rPr>
        <w:tab/>
        <w:t xml:space="preserve">Fornell C, Larcker DF. Structural Equation Models with Unobservable Variables and Measurement Error: Algebra and Statistics. J Mark Res. 1981;18:382–8. </w:t>
      </w:r>
    </w:p>
    <w:p w14:paraId="45DC8FF1"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21. </w:t>
      </w:r>
      <w:r w:rsidRPr="00400570">
        <w:rPr>
          <w:rFonts w:ascii="Cambria" w:hAnsi="Cambria"/>
          <w:noProof/>
        </w:rPr>
        <w:tab/>
        <w:t xml:space="preserve">Nunnally J., Bernstein I. The Assessment of Reliability. Psychometric Theory. Michigan: McGraw-Hill Companies,Incorporated; 1994. 248–292 p. </w:t>
      </w:r>
    </w:p>
    <w:p w14:paraId="398AD7A9"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22. </w:t>
      </w:r>
      <w:r w:rsidRPr="00400570">
        <w:rPr>
          <w:rFonts w:ascii="Cambria" w:hAnsi="Cambria"/>
          <w:noProof/>
        </w:rPr>
        <w:tab/>
        <w:t xml:space="preserve">Chin WW. The partial least squares approach to structural equation modeling. 1998. </w:t>
      </w:r>
    </w:p>
    <w:p w14:paraId="1E803055"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23. </w:t>
      </w:r>
      <w:r w:rsidRPr="00400570">
        <w:rPr>
          <w:rFonts w:ascii="Cambria" w:hAnsi="Cambria"/>
          <w:noProof/>
        </w:rPr>
        <w:tab/>
        <w:t xml:space="preserve">Ghozali I, Latan H. Partial least square concepts, methods and applications using the WarpPLS 5.0 program. Semarang: Universitas Diponegoro; 2014. </w:t>
      </w:r>
    </w:p>
    <w:p w14:paraId="36CB00B9"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24. </w:t>
      </w:r>
      <w:r w:rsidRPr="00400570">
        <w:rPr>
          <w:rFonts w:ascii="Cambria" w:hAnsi="Cambria"/>
          <w:noProof/>
        </w:rPr>
        <w:tab/>
        <w:t xml:space="preserve">Sarwono J, Narimawati U. Membuat skripsi, tesis, dan disertasi dengan partial least square sem (pls-sem). (. Yogyakarta: ANDI; 2015. </w:t>
      </w:r>
    </w:p>
    <w:p w14:paraId="24E79CDD"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25. </w:t>
      </w:r>
      <w:r w:rsidRPr="00400570">
        <w:rPr>
          <w:rFonts w:ascii="Cambria" w:hAnsi="Cambria"/>
          <w:noProof/>
        </w:rPr>
        <w:tab/>
        <w:t xml:space="preserve">Fornell C, Larcker DF. Structural equation models with unobservable variables and measurement error: Algebra and statistics. 1981. </w:t>
      </w:r>
    </w:p>
    <w:p w14:paraId="6479941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26. </w:t>
      </w:r>
      <w:r w:rsidRPr="00400570">
        <w:rPr>
          <w:rFonts w:ascii="Cambria" w:hAnsi="Cambria"/>
          <w:noProof/>
        </w:rPr>
        <w:tab/>
        <w:t>Worthington RL, Whittaker TA. Scale Development Research A Content Analysis and Recommendations for Best Practices. Couns Psychol [Internet]. 2006;34(6):806–38. Available from: https://doi.org/10.1177/0011000006288127</w:t>
      </w:r>
    </w:p>
    <w:p w14:paraId="27330CF9"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27. </w:t>
      </w:r>
      <w:r w:rsidRPr="00400570">
        <w:rPr>
          <w:rFonts w:ascii="Cambria" w:hAnsi="Cambria"/>
          <w:noProof/>
        </w:rPr>
        <w:tab/>
        <w:t xml:space="preserve">Bejaković P, Mrnjavac Ž. The characteristics and role of digital literacy in an effective health protection. Heliyon. 2024;10(8):e29737. </w:t>
      </w:r>
    </w:p>
    <w:p w14:paraId="6C858565"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28. </w:t>
      </w:r>
      <w:r w:rsidRPr="00400570">
        <w:rPr>
          <w:rFonts w:ascii="Cambria" w:hAnsi="Cambria"/>
          <w:noProof/>
        </w:rPr>
        <w:tab/>
        <w:t>Kruse CS, Karem P, Brooks M. Evaluating barriers to adopting telemedicine worldwide: A systematic review. J Telemed Telecare [Internet]. 2016;24(1). Available from: https://doi.org/10.1177/1357633X16674087</w:t>
      </w:r>
    </w:p>
    <w:p w14:paraId="595B64D5"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29. </w:t>
      </w:r>
      <w:r w:rsidRPr="00400570">
        <w:rPr>
          <w:rFonts w:ascii="Cambria" w:hAnsi="Cambria"/>
          <w:noProof/>
        </w:rPr>
        <w:tab/>
        <w:t xml:space="preserve">Ekong I, Sesay T, Samuels R, Foday E, Smart F, Kangbai D, et al. Foundational digital literacy training for frontline immunization officers: lessons from implementing the electronic stock management tool across selected comprehensive health centers in Sierra Leone. rontiers Digit Heal. 2025;17(7):1673085. </w:t>
      </w:r>
    </w:p>
    <w:p w14:paraId="22382402"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30. </w:t>
      </w:r>
      <w:r w:rsidRPr="00400570">
        <w:rPr>
          <w:rFonts w:ascii="Cambria" w:hAnsi="Cambria"/>
          <w:noProof/>
        </w:rPr>
        <w:tab/>
        <w:t xml:space="preserve">Tegegne MD, Tilahun B, Mamuye A, Kerie H, Nurhussien F, Zemen E, et al. Digital literacy level and associated factors among health professionals in a referral and teaching hospital: An implication for future digital health systems implementation. Front public Heal. 2023;11:2023 |. </w:t>
      </w:r>
    </w:p>
    <w:p w14:paraId="5ECA3864"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31. </w:t>
      </w:r>
      <w:r w:rsidRPr="00400570">
        <w:rPr>
          <w:rFonts w:ascii="Cambria" w:hAnsi="Cambria"/>
          <w:noProof/>
        </w:rPr>
        <w:tab/>
        <w:t>Jumakil J, Syaifuddin DT, Jaya MG, Yuniar N. The Effect of Health Information Technology Assets on the Sustainability of Health Management Information Systems Usage Moderated by Strategy in Kendari City. Public Heal Indones [Internet]. 2024 Jun 25;10(2):118–32. Available from: https://stikbar.org/ycabpublisher/index.php/PHI/article/view/782</w:t>
      </w:r>
    </w:p>
    <w:p w14:paraId="0EE2421A"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32. </w:t>
      </w:r>
      <w:r w:rsidRPr="00400570">
        <w:rPr>
          <w:rFonts w:ascii="Cambria" w:hAnsi="Cambria"/>
          <w:noProof/>
        </w:rPr>
        <w:tab/>
        <w:t xml:space="preserve">Davis FD. Perceived usefulness, perceived ease of use, and user acceptance of information technology. MIS Q. 1989;13(3):319–40. </w:t>
      </w:r>
    </w:p>
    <w:p w14:paraId="190E96E5"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33. </w:t>
      </w:r>
      <w:r w:rsidRPr="00400570">
        <w:rPr>
          <w:rFonts w:ascii="Cambria" w:hAnsi="Cambria"/>
          <w:noProof/>
        </w:rPr>
        <w:tab/>
        <w:t xml:space="preserve">WHO. Support tool to strengthen health information systems: guidance for health information system assessment and strategy development, second edition. World Health Organization. Regional Office for Europe, editor. World Health Organization; 2024. </w:t>
      </w:r>
    </w:p>
    <w:p w14:paraId="5FBF928D"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34. </w:t>
      </w:r>
      <w:r w:rsidRPr="00400570">
        <w:rPr>
          <w:rFonts w:ascii="Cambria" w:hAnsi="Cambria"/>
          <w:noProof/>
        </w:rPr>
        <w:tab/>
        <w:t xml:space="preserve">Parasuraman A, Zeithaml VA, Berry LL. SERVQUAL: A Multiple-Item Scale for Measuring Consumer Perceptions of Service Quality. J Retail. 1988;64:12–40. </w:t>
      </w:r>
    </w:p>
    <w:p w14:paraId="53661060"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35. </w:t>
      </w:r>
      <w:r w:rsidRPr="00400570">
        <w:rPr>
          <w:rFonts w:ascii="Cambria" w:hAnsi="Cambria"/>
          <w:noProof/>
        </w:rPr>
        <w:tab/>
        <w:t>Albarrak MS, Elnahass M, Papagiannidis S, Salama A. The effect of twitter dissemination on cost of equity: A big data approach. Int J Inf Manage [Internet]. 2020 Feb;50:1–16. Available from: https://linkinghub.elsevier.com/retrieve/pii/S0268401218312921</w:t>
      </w:r>
    </w:p>
    <w:p w14:paraId="0D8F14F6"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36. </w:t>
      </w:r>
      <w:r w:rsidRPr="00400570">
        <w:rPr>
          <w:rFonts w:ascii="Cambria" w:hAnsi="Cambria"/>
          <w:noProof/>
        </w:rPr>
        <w:tab/>
        <w:t>Lupton D. The Internet of Things: Social dimensions. Sociol Compass [Internet]. 2020 Apr 13;14(4). Available from: https://compass.onlinelibrary.wiley.com/doi/10.1111/soc4.12770</w:t>
      </w:r>
    </w:p>
    <w:p w14:paraId="4523CBED" w14:textId="77777777" w:rsidR="00400570" w:rsidRPr="00400570" w:rsidRDefault="00400570" w:rsidP="00400570">
      <w:pPr>
        <w:widowControl w:val="0"/>
        <w:autoSpaceDE w:val="0"/>
        <w:autoSpaceDN w:val="0"/>
        <w:adjustRightInd w:val="0"/>
        <w:ind w:left="640" w:hanging="640"/>
        <w:rPr>
          <w:rFonts w:ascii="Cambria" w:hAnsi="Cambria"/>
          <w:noProof/>
        </w:rPr>
      </w:pPr>
      <w:r w:rsidRPr="00400570">
        <w:rPr>
          <w:rFonts w:ascii="Cambria" w:hAnsi="Cambria"/>
          <w:noProof/>
        </w:rPr>
        <w:t xml:space="preserve">37. </w:t>
      </w:r>
      <w:r w:rsidRPr="00400570">
        <w:rPr>
          <w:rFonts w:ascii="Cambria" w:hAnsi="Cambria"/>
          <w:noProof/>
        </w:rPr>
        <w:tab/>
        <w:t>Kruse CS, Krowski N, Rodriguez B, Tran L, Vela J, Brooks M. Telehealth and patient satisfaction: a systematic review and narrative analysis. BMJ Open [Internet]. 2017 Aug 3;7(8):e016242. Available from: https://bmjopen.bmj.com/lookup/doi/10.1136/bmjopen-2017-016242</w:t>
      </w:r>
    </w:p>
    <w:p w14:paraId="4D45606C" w14:textId="650ED74F" w:rsidR="008D0B27" w:rsidRPr="002C418C" w:rsidRDefault="00F70054" w:rsidP="00400570">
      <w:pPr>
        <w:widowControl w:val="0"/>
        <w:autoSpaceDE w:val="0"/>
        <w:autoSpaceDN w:val="0"/>
        <w:adjustRightInd w:val="0"/>
        <w:ind w:left="640" w:hanging="640"/>
        <w:rPr>
          <w:rFonts w:ascii="Cambria" w:hAnsi="Cambria"/>
        </w:rPr>
      </w:pPr>
      <w:r>
        <w:rPr>
          <w:rFonts w:ascii="Cambria" w:hAnsi="Cambria"/>
        </w:rPr>
        <w:fldChar w:fldCharType="end"/>
      </w:r>
    </w:p>
    <w:sectPr w:rsidR="008D0B27" w:rsidRPr="002C418C" w:rsidSect="00E24778">
      <w:pgSz w:w="11900" w:h="16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78"/>
    <w:rsid w:val="000620DE"/>
    <w:rsid w:val="00074E89"/>
    <w:rsid w:val="000E6A4F"/>
    <w:rsid w:val="000F2E81"/>
    <w:rsid w:val="00123F5D"/>
    <w:rsid w:val="00125D23"/>
    <w:rsid w:val="00143331"/>
    <w:rsid w:val="00155D76"/>
    <w:rsid w:val="00171675"/>
    <w:rsid w:val="00181C3E"/>
    <w:rsid w:val="001840C9"/>
    <w:rsid w:val="001905DC"/>
    <w:rsid w:val="001C3BE4"/>
    <w:rsid w:val="00204EFB"/>
    <w:rsid w:val="00237BAB"/>
    <w:rsid w:val="002771E4"/>
    <w:rsid w:val="002A2BCD"/>
    <w:rsid w:val="002C418C"/>
    <w:rsid w:val="002E4AD5"/>
    <w:rsid w:val="002E4EC7"/>
    <w:rsid w:val="002E62FB"/>
    <w:rsid w:val="002F4B2B"/>
    <w:rsid w:val="0030172F"/>
    <w:rsid w:val="00334ED5"/>
    <w:rsid w:val="00362DA1"/>
    <w:rsid w:val="003B3729"/>
    <w:rsid w:val="003C0616"/>
    <w:rsid w:val="00400570"/>
    <w:rsid w:val="00426E50"/>
    <w:rsid w:val="00450D93"/>
    <w:rsid w:val="00455B24"/>
    <w:rsid w:val="00457736"/>
    <w:rsid w:val="00465F9C"/>
    <w:rsid w:val="00466DDB"/>
    <w:rsid w:val="00486BC6"/>
    <w:rsid w:val="00496CA9"/>
    <w:rsid w:val="004A714D"/>
    <w:rsid w:val="004B2375"/>
    <w:rsid w:val="004B6C57"/>
    <w:rsid w:val="004C15B3"/>
    <w:rsid w:val="004D0D85"/>
    <w:rsid w:val="004E66F4"/>
    <w:rsid w:val="004E6FE5"/>
    <w:rsid w:val="004E746F"/>
    <w:rsid w:val="00500AC3"/>
    <w:rsid w:val="0051520C"/>
    <w:rsid w:val="005274C3"/>
    <w:rsid w:val="005428F8"/>
    <w:rsid w:val="005702A8"/>
    <w:rsid w:val="005728AA"/>
    <w:rsid w:val="0059462E"/>
    <w:rsid w:val="005A5398"/>
    <w:rsid w:val="005B13BF"/>
    <w:rsid w:val="005B4014"/>
    <w:rsid w:val="005F4414"/>
    <w:rsid w:val="0060382A"/>
    <w:rsid w:val="006115BD"/>
    <w:rsid w:val="006271E4"/>
    <w:rsid w:val="00627618"/>
    <w:rsid w:val="00645394"/>
    <w:rsid w:val="006457FC"/>
    <w:rsid w:val="006A05FB"/>
    <w:rsid w:val="006B707D"/>
    <w:rsid w:val="006D74F4"/>
    <w:rsid w:val="006E4177"/>
    <w:rsid w:val="007409D3"/>
    <w:rsid w:val="0076471E"/>
    <w:rsid w:val="00786CB9"/>
    <w:rsid w:val="0079525F"/>
    <w:rsid w:val="007D7AA8"/>
    <w:rsid w:val="007F11C5"/>
    <w:rsid w:val="007F4DBE"/>
    <w:rsid w:val="00800323"/>
    <w:rsid w:val="00804976"/>
    <w:rsid w:val="00822D4D"/>
    <w:rsid w:val="0084293E"/>
    <w:rsid w:val="00852CB1"/>
    <w:rsid w:val="008874B2"/>
    <w:rsid w:val="008B39F8"/>
    <w:rsid w:val="008B56B6"/>
    <w:rsid w:val="008D0B27"/>
    <w:rsid w:val="008D148D"/>
    <w:rsid w:val="008D5CC6"/>
    <w:rsid w:val="008E1402"/>
    <w:rsid w:val="009059D6"/>
    <w:rsid w:val="00915E0B"/>
    <w:rsid w:val="00917C7B"/>
    <w:rsid w:val="00944B1D"/>
    <w:rsid w:val="00971DA3"/>
    <w:rsid w:val="00973840"/>
    <w:rsid w:val="009A5E1F"/>
    <w:rsid w:val="009B1BA2"/>
    <w:rsid w:val="009C004D"/>
    <w:rsid w:val="009F0760"/>
    <w:rsid w:val="009F50FD"/>
    <w:rsid w:val="00A0165E"/>
    <w:rsid w:val="00A1489C"/>
    <w:rsid w:val="00A170BD"/>
    <w:rsid w:val="00A26620"/>
    <w:rsid w:val="00A50291"/>
    <w:rsid w:val="00A5407A"/>
    <w:rsid w:val="00A91B2F"/>
    <w:rsid w:val="00AC088D"/>
    <w:rsid w:val="00AD5DA7"/>
    <w:rsid w:val="00AF7625"/>
    <w:rsid w:val="00B004C3"/>
    <w:rsid w:val="00B27CB8"/>
    <w:rsid w:val="00B345D3"/>
    <w:rsid w:val="00B36C36"/>
    <w:rsid w:val="00B5274E"/>
    <w:rsid w:val="00B536E3"/>
    <w:rsid w:val="00B63D83"/>
    <w:rsid w:val="00B715D1"/>
    <w:rsid w:val="00B80DD7"/>
    <w:rsid w:val="00BA072C"/>
    <w:rsid w:val="00BA6DCF"/>
    <w:rsid w:val="00BB5313"/>
    <w:rsid w:val="00BC7D70"/>
    <w:rsid w:val="00BE3D6F"/>
    <w:rsid w:val="00BF5144"/>
    <w:rsid w:val="00C029DF"/>
    <w:rsid w:val="00C071D5"/>
    <w:rsid w:val="00C110D6"/>
    <w:rsid w:val="00C45FC7"/>
    <w:rsid w:val="00C966C9"/>
    <w:rsid w:val="00CC3959"/>
    <w:rsid w:val="00CC7CEE"/>
    <w:rsid w:val="00CF09C5"/>
    <w:rsid w:val="00D93F20"/>
    <w:rsid w:val="00DD5E06"/>
    <w:rsid w:val="00E054AF"/>
    <w:rsid w:val="00E24778"/>
    <w:rsid w:val="00E3184B"/>
    <w:rsid w:val="00E85075"/>
    <w:rsid w:val="00E916AB"/>
    <w:rsid w:val="00E9558C"/>
    <w:rsid w:val="00EC7B09"/>
    <w:rsid w:val="00F1005E"/>
    <w:rsid w:val="00F1358F"/>
    <w:rsid w:val="00F25AF6"/>
    <w:rsid w:val="00F41309"/>
    <w:rsid w:val="00F54AA5"/>
    <w:rsid w:val="00F63095"/>
    <w:rsid w:val="00F70054"/>
    <w:rsid w:val="00F854C1"/>
    <w:rsid w:val="00F90B75"/>
    <w:rsid w:val="00F96117"/>
    <w:rsid w:val="00FA6806"/>
    <w:rsid w:val="00FB0C09"/>
    <w:rsid w:val="00FC17B9"/>
    <w:rsid w:val="00FE0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C7A2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DA3"/>
    <w:pPr>
      <w:keepNext/>
      <w:keepLines/>
      <w:spacing w:before="120"/>
      <w:outlineLvl w:val="0"/>
    </w:pPr>
    <w:rPr>
      <w:rFonts w:ascii="Cambria" w:eastAsiaTheme="majorEastAsia" w:hAnsi="Cambr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BB5313"/>
    <w:rPr>
      <w:rFonts w:ascii="Lucida Grande" w:hAnsi="Lucida Grande"/>
    </w:rPr>
  </w:style>
  <w:style w:type="character" w:customStyle="1" w:styleId="DocumentMapChar">
    <w:name w:val="Document Map Char"/>
    <w:basedOn w:val="DefaultParagraphFont"/>
    <w:link w:val="DocumentMap"/>
    <w:uiPriority w:val="99"/>
    <w:semiHidden/>
    <w:rsid w:val="00BB5313"/>
    <w:rPr>
      <w:rFonts w:ascii="Lucida Grande" w:hAnsi="Lucida Grande"/>
    </w:rPr>
  </w:style>
  <w:style w:type="character" w:customStyle="1" w:styleId="Heading1Char">
    <w:name w:val="Heading 1 Char"/>
    <w:basedOn w:val="DefaultParagraphFont"/>
    <w:link w:val="Heading1"/>
    <w:uiPriority w:val="9"/>
    <w:rsid w:val="00971DA3"/>
    <w:rPr>
      <w:rFonts w:ascii="Cambria" w:eastAsiaTheme="majorEastAsia" w:hAnsi="Cambria" w:cstheme="majorBidi"/>
      <w:b/>
      <w:bCs/>
      <w:szCs w:val="32"/>
    </w:rPr>
  </w:style>
  <w:style w:type="paragraph" w:styleId="BalloonText">
    <w:name w:val="Balloon Text"/>
    <w:basedOn w:val="Normal"/>
    <w:link w:val="BalloonTextChar"/>
    <w:uiPriority w:val="99"/>
    <w:semiHidden/>
    <w:unhideWhenUsed/>
    <w:rsid w:val="00C029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029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DA3"/>
    <w:pPr>
      <w:keepNext/>
      <w:keepLines/>
      <w:spacing w:before="120"/>
      <w:outlineLvl w:val="0"/>
    </w:pPr>
    <w:rPr>
      <w:rFonts w:ascii="Cambria" w:eastAsiaTheme="majorEastAsia" w:hAnsi="Cambr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BB5313"/>
    <w:rPr>
      <w:rFonts w:ascii="Lucida Grande" w:hAnsi="Lucida Grande"/>
    </w:rPr>
  </w:style>
  <w:style w:type="character" w:customStyle="1" w:styleId="DocumentMapChar">
    <w:name w:val="Document Map Char"/>
    <w:basedOn w:val="DefaultParagraphFont"/>
    <w:link w:val="DocumentMap"/>
    <w:uiPriority w:val="99"/>
    <w:semiHidden/>
    <w:rsid w:val="00BB5313"/>
    <w:rPr>
      <w:rFonts w:ascii="Lucida Grande" w:hAnsi="Lucida Grande"/>
    </w:rPr>
  </w:style>
  <w:style w:type="character" w:customStyle="1" w:styleId="Heading1Char">
    <w:name w:val="Heading 1 Char"/>
    <w:basedOn w:val="DefaultParagraphFont"/>
    <w:link w:val="Heading1"/>
    <w:uiPriority w:val="9"/>
    <w:rsid w:val="00971DA3"/>
    <w:rPr>
      <w:rFonts w:ascii="Cambria" w:eastAsiaTheme="majorEastAsia" w:hAnsi="Cambria" w:cstheme="majorBidi"/>
      <w:b/>
      <w:bCs/>
      <w:szCs w:val="32"/>
    </w:rPr>
  </w:style>
  <w:style w:type="paragraph" w:styleId="BalloonText">
    <w:name w:val="Balloon Text"/>
    <w:basedOn w:val="Normal"/>
    <w:link w:val="BalloonTextChar"/>
    <w:uiPriority w:val="99"/>
    <w:semiHidden/>
    <w:unhideWhenUsed/>
    <w:rsid w:val="00C029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029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54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microsoft.com/office/2007/relationships/hdphoto" Target="media/hdphoto1.wdp"/><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13</Pages>
  <Words>10654</Words>
  <Characters>60734</Characters>
  <Application>Microsoft Macintosh Word</Application>
  <DocSecurity>0</DocSecurity>
  <Lines>506</Lines>
  <Paragraphs>142</Paragraphs>
  <ScaleCrop>false</ScaleCrop>
  <Company/>
  <LinksUpToDate>false</LinksUpToDate>
  <CharactersWithSpaces>71246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132</cp:revision>
  <dcterms:created xsi:type="dcterms:W3CDTF">2025-07-12T04:06:00Z</dcterms:created>
  <dcterms:modified xsi:type="dcterms:W3CDTF">2026-01-10T01:35:00Z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http://www.zotero.org/styles/vancouver</vt:lpwstr>
  </property>
  <property fmtid="{D5CDD505-2E9C-101B-9397-08002B2CF9AE}" pid="24" name="Mendeley Unique User Id_1">
    <vt:lpwstr>6aa11066-2498-3cc3-ab5d-5661a439a730</vt:lpwstr>
  </property>
</Properties>
</file>